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48282" w14:textId="77777777" w:rsidR="0008174C" w:rsidRPr="0008174C" w:rsidRDefault="0008174C" w:rsidP="0008174C">
      <w:pPr>
        <w:spacing w:line="240" w:lineRule="auto"/>
        <w:jc w:val="right"/>
        <w:rPr>
          <w:rFonts w:ascii="Bookman Old Style" w:hAnsi="Bookman Old Style"/>
          <w:i/>
          <w:color w:val="2F5496" w:themeColor="accent1" w:themeShade="BF"/>
          <w:lang w:val="en-US"/>
        </w:rPr>
      </w:pPr>
      <w:bookmarkStart w:id="0" w:name="_Hlk11326327"/>
      <w:r w:rsidRPr="00E33C24">
        <w:rPr>
          <w:rFonts w:ascii="Bookman Old Style" w:hAnsi="Bookman Old Style"/>
          <w:noProof/>
          <w:lang w:eastAsia="es-MX"/>
        </w:rPr>
        <w:drawing>
          <wp:anchor distT="0" distB="0" distL="114300" distR="114300" simplePos="0" relativeHeight="251659264" behindDoc="1" locked="0" layoutInCell="1" allowOverlap="1" wp14:anchorId="70061A7B" wp14:editId="3532D9B2">
            <wp:simplePos x="0" y="0"/>
            <wp:positionH relativeFrom="margin">
              <wp:posOffset>255905</wp:posOffset>
            </wp:positionH>
            <wp:positionV relativeFrom="paragraph">
              <wp:posOffset>31750</wp:posOffset>
            </wp:positionV>
            <wp:extent cx="1127760" cy="1092200"/>
            <wp:effectExtent l="0" t="0" r="0" b="0"/>
            <wp:wrapTight wrapText="bothSides">
              <wp:wrapPolygon edited="0">
                <wp:start x="0" y="0"/>
                <wp:lineTo x="0" y="21098"/>
                <wp:lineTo x="21162" y="21098"/>
                <wp:lineTo x="21162" y="0"/>
                <wp:lineTo x="0" y="0"/>
              </wp:wrapPolygon>
            </wp:wrapTight>
            <wp:docPr id="2" name="Imagen 2" descr="cid:image001.png@01D2BAF6.48FD5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2BAF6.48FD59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2776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74C">
        <w:rPr>
          <w:rFonts w:ascii="Bookman Old Style" w:hAnsi="Bookman Old Style"/>
          <w:color w:val="2F5496" w:themeColor="accent1" w:themeShade="BF"/>
          <w:lang w:val="en-US"/>
        </w:rPr>
        <w:t>“</w:t>
      </w:r>
      <w:r w:rsidRPr="0008174C">
        <w:rPr>
          <w:rFonts w:ascii="Bookman Old Style" w:hAnsi="Bookman Old Style"/>
          <w:i/>
          <w:color w:val="2F5496" w:themeColor="accent1" w:themeShade="BF"/>
          <w:lang w:val="en-US"/>
        </w:rPr>
        <w:t>Building Financial &amp; Entrepreneur Companies…</w:t>
      </w:r>
    </w:p>
    <w:p w14:paraId="381F71EB" w14:textId="77777777" w:rsidR="0008174C" w:rsidRPr="0008174C" w:rsidRDefault="0008174C" w:rsidP="0008174C">
      <w:pPr>
        <w:spacing w:after="120" w:line="240" w:lineRule="auto"/>
        <w:rPr>
          <w:rFonts w:ascii="Bookman Old Style" w:hAnsi="Bookman Old Style"/>
          <w:b/>
          <w:lang w:val="en-US"/>
        </w:rPr>
      </w:pPr>
      <w:r w:rsidRPr="0008174C">
        <w:rPr>
          <w:rFonts w:ascii="Bookman Old Style" w:hAnsi="Bookman Old Style"/>
          <w:i/>
          <w:color w:val="2F5496" w:themeColor="accent1" w:themeShade="BF"/>
          <w:lang w:val="en-US"/>
        </w:rPr>
        <w:t xml:space="preserve">                                                                                      from the inside out</w:t>
      </w:r>
      <w:r w:rsidRPr="0008174C">
        <w:rPr>
          <w:rFonts w:ascii="Bookman Old Style" w:hAnsi="Bookman Old Style"/>
          <w:color w:val="2F5496" w:themeColor="accent1" w:themeShade="BF"/>
          <w:lang w:val="en-US"/>
        </w:rPr>
        <w:t>”.</w:t>
      </w:r>
    </w:p>
    <w:p w14:paraId="29622328" w14:textId="77777777" w:rsidR="0008174C" w:rsidRPr="0008174C" w:rsidRDefault="0008174C" w:rsidP="0008174C">
      <w:pPr>
        <w:spacing w:after="120" w:line="240" w:lineRule="auto"/>
        <w:rPr>
          <w:rFonts w:ascii="Bookman Old Style" w:hAnsi="Bookman Old Style"/>
          <w:b/>
          <w:lang w:val="en-US"/>
        </w:rPr>
      </w:pPr>
      <w:r w:rsidRPr="0008174C">
        <w:rPr>
          <w:rFonts w:ascii="Bookman Old Style" w:hAnsi="Bookman Old Style"/>
          <w:b/>
          <w:lang w:val="en-US"/>
        </w:rPr>
        <w:t xml:space="preserve">                                        </w:t>
      </w:r>
    </w:p>
    <w:p w14:paraId="34EB86C1" w14:textId="77777777" w:rsidR="0008174C" w:rsidRPr="00354BBD" w:rsidRDefault="00354BBD" w:rsidP="00354BBD">
      <w:pPr>
        <w:rPr>
          <w:rFonts w:ascii="Bookman Old Style" w:hAnsi="Bookman Old Style"/>
          <w:b/>
          <w:bCs/>
        </w:rPr>
      </w:pPr>
      <w:r w:rsidRPr="00605E9A">
        <w:rPr>
          <w:rFonts w:ascii="Bookman Old Style" w:hAnsi="Bookman Old Style"/>
          <w:b/>
          <w:bCs/>
          <w:lang w:val="en-US"/>
        </w:rPr>
        <w:t xml:space="preserve">                                                     </w:t>
      </w:r>
      <w:r w:rsidR="0008174C" w:rsidRPr="00354BBD">
        <w:rPr>
          <w:rFonts w:ascii="Bookman Old Style" w:hAnsi="Bookman Old Style"/>
          <w:b/>
          <w:bCs/>
        </w:rPr>
        <w:t>LEVANTAMIENTO DE CAPITAL</w:t>
      </w:r>
    </w:p>
    <w:p w14:paraId="4A9D700E" w14:textId="77777777" w:rsidR="00354BBD" w:rsidRPr="00354BBD" w:rsidRDefault="00354BBD" w:rsidP="00354BBD">
      <w:pPr>
        <w:jc w:val="right"/>
        <w:rPr>
          <w:rFonts w:ascii="Bookman Old Style" w:hAnsi="Bookman Old Style"/>
        </w:rPr>
      </w:pPr>
      <w:r w:rsidRPr="00354BBD">
        <w:rPr>
          <w:rFonts w:ascii="Bookman Old Style" w:hAnsi="Bookman Old Style"/>
        </w:rPr>
        <w:t>Ciudad de México, a 19 de julio de 2019</w:t>
      </w:r>
    </w:p>
    <w:p w14:paraId="14E0B00A" w14:textId="77777777" w:rsidR="0008174C" w:rsidRPr="00354BBD" w:rsidRDefault="0008174C" w:rsidP="0008174C">
      <w:pPr>
        <w:jc w:val="both"/>
        <w:rPr>
          <w:rFonts w:ascii="Bookman Old Style" w:hAnsi="Bookman Old Style"/>
        </w:rPr>
      </w:pPr>
      <w:r w:rsidRPr="00354BBD">
        <w:rPr>
          <w:rFonts w:ascii="Bookman Old Style" w:hAnsi="Bookman Old Style"/>
        </w:rPr>
        <w:t>Es importante tener en cuenta que cuando se está buscando financiamiento para una empresa, se está trazando un camino para rondas siguientes, sin intensión de obstaculizar la entrada de inversionistas al futuro. Al final del día, la nota siempre será sólo un vehículo.</w:t>
      </w:r>
    </w:p>
    <w:tbl>
      <w:tblPr>
        <w:tblStyle w:val="Tablaconcuadrcula"/>
        <w:tblW w:w="13887" w:type="dxa"/>
        <w:jc w:val="center"/>
        <w:tblLook w:val="04A0" w:firstRow="1" w:lastRow="0" w:firstColumn="1" w:lastColumn="0" w:noHBand="0" w:noVBand="1"/>
      </w:tblPr>
      <w:tblGrid>
        <w:gridCol w:w="2830"/>
        <w:gridCol w:w="4420"/>
        <w:gridCol w:w="3377"/>
        <w:gridCol w:w="3260"/>
      </w:tblGrid>
      <w:tr w:rsidR="00605E9A" w:rsidRPr="00423EC2" w14:paraId="581B7D20" w14:textId="77777777" w:rsidTr="00605E9A">
        <w:trPr>
          <w:trHeight w:val="655"/>
          <w:jc w:val="center"/>
        </w:trPr>
        <w:tc>
          <w:tcPr>
            <w:tcW w:w="2830" w:type="dxa"/>
            <w:shd w:val="clear" w:color="auto" w:fill="ACB9CA" w:themeFill="text2" w:themeFillTint="66"/>
          </w:tcPr>
          <w:p w14:paraId="0ACE3924" w14:textId="77777777" w:rsidR="00605E9A" w:rsidRPr="00423EC2" w:rsidRDefault="00605E9A" w:rsidP="000E1AC4">
            <w:pPr>
              <w:jc w:val="center"/>
              <w:rPr>
                <w:rFonts w:ascii="Bookman Old Style" w:hAnsi="Bookman Old Style"/>
                <w:b/>
                <w:bCs/>
                <w:sz w:val="19"/>
                <w:szCs w:val="19"/>
              </w:rPr>
            </w:pPr>
          </w:p>
          <w:p w14:paraId="2472D4D3" w14:textId="77777777" w:rsidR="00605E9A" w:rsidRPr="00423EC2" w:rsidRDefault="00605E9A" w:rsidP="000E1AC4">
            <w:pPr>
              <w:jc w:val="center"/>
              <w:rPr>
                <w:rFonts w:ascii="Bookman Old Style" w:hAnsi="Bookman Old Style"/>
                <w:b/>
                <w:bCs/>
                <w:sz w:val="19"/>
                <w:szCs w:val="19"/>
              </w:rPr>
            </w:pPr>
            <w:r w:rsidRPr="00423EC2">
              <w:rPr>
                <w:rFonts w:ascii="Bookman Old Style" w:hAnsi="Bookman Old Style"/>
                <w:b/>
                <w:bCs/>
                <w:sz w:val="19"/>
                <w:szCs w:val="19"/>
              </w:rPr>
              <w:t>INSTRUMENTO DE INVERSIÓN</w:t>
            </w:r>
          </w:p>
        </w:tc>
        <w:tc>
          <w:tcPr>
            <w:tcW w:w="4420" w:type="dxa"/>
            <w:shd w:val="clear" w:color="auto" w:fill="ACB9CA" w:themeFill="text2" w:themeFillTint="66"/>
          </w:tcPr>
          <w:p w14:paraId="645B65B6" w14:textId="77777777" w:rsidR="00605E9A" w:rsidRPr="00423EC2" w:rsidRDefault="00605E9A" w:rsidP="000E1AC4">
            <w:pPr>
              <w:jc w:val="center"/>
              <w:rPr>
                <w:rFonts w:ascii="Bookman Old Style" w:hAnsi="Bookman Old Style"/>
                <w:b/>
                <w:bCs/>
                <w:sz w:val="19"/>
                <w:szCs w:val="19"/>
              </w:rPr>
            </w:pPr>
          </w:p>
          <w:p w14:paraId="2159E6C3" w14:textId="77777777" w:rsidR="00605E9A" w:rsidRPr="00423EC2" w:rsidRDefault="00605E9A" w:rsidP="000E1AC4">
            <w:pPr>
              <w:jc w:val="center"/>
              <w:rPr>
                <w:rFonts w:ascii="Bookman Old Style" w:hAnsi="Bookman Old Style"/>
                <w:b/>
                <w:bCs/>
                <w:sz w:val="19"/>
                <w:szCs w:val="19"/>
              </w:rPr>
            </w:pPr>
            <w:r w:rsidRPr="00423EC2">
              <w:rPr>
                <w:rFonts w:ascii="Bookman Old Style" w:hAnsi="Bookman Old Style"/>
                <w:b/>
                <w:bCs/>
                <w:sz w:val="19"/>
                <w:szCs w:val="19"/>
              </w:rPr>
              <w:t>CARACTERÍSTICAS</w:t>
            </w:r>
          </w:p>
        </w:tc>
        <w:tc>
          <w:tcPr>
            <w:tcW w:w="3377" w:type="dxa"/>
            <w:shd w:val="clear" w:color="auto" w:fill="ACB9CA" w:themeFill="text2" w:themeFillTint="66"/>
          </w:tcPr>
          <w:p w14:paraId="10F6930C" w14:textId="77777777" w:rsidR="00605E9A" w:rsidRPr="00423EC2" w:rsidRDefault="00605E9A" w:rsidP="000E1AC4">
            <w:pPr>
              <w:jc w:val="center"/>
              <w:rPr>
                <w:rFonts w:ascii="Bookman Old Style" w:hAnsi="Bookman Old Style"/>
                <w:b/>
                <w:bCs/>
                <w:sz w:val="19"/>
                <w:szCs w:val="19"/>
              </w:rPr>
            </w:pPr>
          </w:p>
          <w:p w14:paraId="5E73DC6B" w14:textId="77777777" w:rsidR="00605E9A" w:rsidRPr="00423EC2" w:rsidRDefault="00605E9A" w:rsidP="000E1AC4">
            <w:pPr>
              <w:jc w:val="center"/>
              <w:rPr>
                <w:rFonts w:ascii="Bookman Old Style" w:hAnsi="Bookman Old Style"/>
                <w:b/>
                <w:bCs/>
                <w:sz w:val="19"/>
                <w:szCs w:val="19"/>
              </w:rPr>
            </w:pPr>
            <w:r w:rsidRPr="00423EC2">
              <w:rPr>
                <w:rFonts w:ascii="Bookman Old Style" w:hAnsi="Bookman Old Style"/>
                <w:b/>
                <w:bCs/>
                <w:sz w:val="19"/>
                <w:szCs w:val="19"/>
              </w:rPr>
              <w:t>VENTAJAS</w:t>
            </w:r>
          </w:p>
        </w:tc>
        <w:tc>
          <w:tcPr>
            <w:tcW w:w="3260" w:type="dxa"/>
            <w:shd w:val="clear" w:color="auto" w:fill="ACB9CA" w:themeFill="text2" w:themeFillTint="66"/>
          </w:tcPr>
          <w:p w14:paraId="3ABA6199" w14:textId="77777777" w:rsidR="00605E9A" w:rsidRPr="00423EC2" w:rsidRDefault="00605E9A" w:rsidP="000E1AC4">
            <w:pPr>
              <w:jc w:val="center"/>
              <w:rPr>
                <w:rFonts w:ascii="Bookman Old Style" w:hAnsi="Bookman Old Style"/>
                <w:b/>
                <w:bCs/>
                <w:sz w:val="19"/>
                <w:szCs w:val="19"/>
              </w:rPr>
            </w:pPr>
          </w:p>
          <w:p w14:paraId="1B3EED1F" w14:textId="77777777" w:rsidR="00605E9A" w:rsidRPr="00423EC2" w:rsidRDefault="00605E9A" w:rsidP="000E1AC4">
            <w:pPr>
              <w:jc w:val="center"/>
              <w:rPr>
                <w:rFonts w:ascii="Bookman Old Style" w:hAnsi="Bookman Old Style"/>
                <w:b/>
                <w:bCs/>
                <w:sz w:val="19"/>
                <w:szCs w:val="19"/>
              </w:rPr>
            </w:pPr>
            <w:r w:rsidRPr="00423EC2">
              <w:rPr>
                <w:rFonts w:ascii="Bookman Old Style" w:hAnsi="Bookman Old Style"/>
                <w:b/>
                <w:bCs/>
                <w:sz w:val="19"/>
                <w:szCs w:val="19"/>
              </w:rPr>
              <w:t>EVENTOS DE CONVERSIÓN</w:t>
            </w:r>
          </w:p>
        </w:tc>
      </w:tr>
      <w:tr w:rsidR="00605E9A" w:rsidRPr="00423EC2" w14:paraId="5CB16B61" w14:textId="77777777" w:rsidTr="00605E9A">
        <w:trPr>
          <w:trHeight w:val="1059"/>
          <w:jc w:val="center"/>
        </w:trPr>
        <w:tc>
          <w:tcPr>
            <w:tcW w:w="2830" w:type="dxa"/>
            <w:shd w:val="clear" w:color="auto" w:fill="ACB9CA" w:themeFill="text2" w:themeFillTint="66"/>
          </w:tcPr>
          <w:p w14:paraId="319C1DAD" w14:textId="77777777" w:rsidR="00605E9A" w:rsidRPr="00423EC2" w:rsidRDefault="00605E9A" w:rsidP="000E1AC4">
            <w:pPr>
              <w:jc w:val="center"/>
              <w:rPr>
                <w:rFonts w:ascii="Bookman Old Style" w:hAnsi="Bookman Old Style"/>
                <w:b/>
                <w:bCs/>
                <w:sz w:val="19"/>
                <w:szCs w:val="19"/>
              </w:rPr>
            </w:pPr>
          </w:p>
          <w:p w14:paraId="4D2B42A6" w14:textId="77777777" w:rsidR="00605E9A" w:rsidRPr="00423EC2" w:rsidRDefault="00605E9A" w:rsidP="000E1AC4">
            <w:pPr>
              <w:jc w:val="center"/>
              <w:rPr>
                <w:rFonts w:ascii="Bookman Old Style" w:hAnsi="Bookman Old Style"/>
                <w:b/>
                <w:bCs/>
                <w:sz w:val="19"/>
                <w:szCs w:val="19"/>
              </w:rPr>
            </w:pPr>
          </w:p>
          <w:p w14:paraId="0FA8BB1E" w14:textId="77777777" w:rsidR="00605E9A" w:rsidRPr="00423EC2" w:rsidRDefault="00605E9A" w:rsidP="000E1AC4">
            <w:pPr>
              <w:jc w:val="center"/>
              <w:rPr>
                <w:rFonts w:ascii="Bookman Old Style" w:hAnsi="Bookman Old Style"/>
                <w:b/>
                <w:bCs/>
                <w:sz w:val="19"/>
                <w:szCs w:val="19"/>
              </w:rPr>
            </w:pPr>
          </w:p>
          <w:p w14:paraId="571F1516" w14:textId="77777777" w:rsidR="00605E9A" w:rsidRPr="00423EC2" w:rsidRDefault="00605E9A" w:rsidP="000E1AC4">
            <w:pPr>
              <w:jc w:val="center"/>
              <w:rPr>
                <w:rFonts w:ascii="Bookman Old Style" w:hAnsi="Bookman Old Style"/>
                <w:b/>
                <w:bCs/>
                <w:sz w:val="19"/>
                <w:szCs w:val="19"/>
              </w:rPr>
            </w:pPr>
          </w:p>
          <w:p w14:paraId="5E78C6C1" w14:textId="77777777" w:rsidR="00605E9A" w:rsidRPr="00423EC2" w:rsidRDefault="00605E9A" w:rsidP="000E1AC4">
            <w:pPr>
              <w:jc w:val="center"/>
              <w:rPr>
                <w:rFonts w:ascii="Bookman Old Style" w:hAnsi="Bookman Old Style"/>
                <w:b/>
                <w:bCs/>
                <w:sz w:val="19"/>
                <w:szCs w:val="19"/>
              </w:rPr>
            </w:pPr>
            <w:r w:rsidRPr="00423EC2">
              <w:rPr>
                <w:rFonts w:ascii="Bookman Old Style" w:hAnsi="Bookman Old Style"/>
                <w:b/>
                <w:bCs/>
                <w:sz w:val="19"/>
                <w:szCs w:val="19"/>
              </w:rPr>
              <w:t>NOTA CONVERTIBLE</w:t>
            </w:r>
          </w:p>
        </w:tc>
        <w:tc>
          <w:tcPr>
            <w:tcW w:w="4420" w:type="dxa"/>
          </w:tcPr>
          <w:p w14:paraId="5A6DCB2E" w14:textId="77777777" w:rsidR="00605E9A" w:rsidRPr="00423EC2" w:rsidRDefault="00605E9A" w:rsidP="0008174C">
            <w:pPr>
              <w:pStyle w:val="Prrafodelista"/>
              <w:numPr>
                <w:ilvl w:val="0"/>
                <w:numId w:val="2"/>
              </w:numPr>
              <w:ind w:left="185" w:hanging="185"/>
              <w:rPr>
                <w:rFonts w:ascii="Bookman Old Style" w:hAnsi="Bookman Old Style"/>
                <w:sz w:val="19"/>
                <w:szCs w:val="19"/>
              </w:rPr>
            </w:pPr>
            <w:r w:rsidRPr="00423EC2">
              <w:rPr>
                <w:rFonts w:ascii="Bookman Old Style" w:hAnsi="Bookman Old Style"/>
                <w:sz w:val="19"/>
                <w:szCs w:val="19"/>
              </w:rPr>
              <w:t>Título de deuda.</w:t>
            </w:r>
          </w:p>
          <w:p w14:paraId="41188139" w14:textId="77777777" w:rsidR="00605E9A" w:rsidRPr="00423EC2" w:rsidRDefault="00605E9A" w:rsidP="0008174C">
            <w:pPr>
              <w:pStyle w:val="Prrafodelista"/>
              <w:numPr>
                <w:ilvl w:val="0"/>
                <w:numId w:val="2"/>
              </w:numPr>
              <w:ind w:left="185" w:hanging="185"/>
              <w:rPr>
                <w:rFonts w:ascii="Bookman Old Style" w:hAnsi="Bookman Old Style"/>
                <w:sz w:val="19"/>
                <w:szCs w:val="19"/>
              </w:rPr>
            </w:pPr>
            <w:r w:rsidRPr="00423EC2">
              <w:rPr>
                <w:rFonts w:ascii="Bookman Old Style" w:hAnsi="Bookman Old Style"/>
                <w:sz w:val="19"/>
                <w:szCs w:val="19"/>
              </w:rPr>
              <w:t>Fecha de vencimiento.</w:t>
            </w:r>
          </w:p>
          <w:p w14:paraId="6422358E" w14:textId="77777777" w:rsidR="00605E9A" w:rsidRPr="00423EC2" w:rsidRDefault="00605E9A" w:rsidP="0008174C">
            <w:pPr>
              <w:pStyle w:val="Prrafodelista"/>
              <w:numPr>
                <w:ilvl w:val="0"/>
                <w:numId w:val="2"/>
              </w:numPr>
              <w:ind w:left="185" w:hanging="185"/>
              <w:rPr>
                <w:rFonts w:ascii="Bookman Old Style" w:hAnsi="Bookman Old Style"/>
                <w:sz w:val="19"/>
                <w:szCs w:val="19"/>
              </w:rPr>
            </w:pPr>
            <w:r w:rsidRPr="00423EC2">
              <w:rPr>
                <w:rFonts w:ascii="Bookman Old Style" w:hAnsi="Bookman Old Style"/>
                <w:sz w:val="19"/>
                <w:szCs w:val="19"/>
              </w:rPr>
              <w:t>Se establece un CAP.</w:t>
            </w:r>
          </w:p>
          <w:p w14:paraId="0F6D7E3A" w14:textId="77777777" w:rsidR="00605E9A" w:rsidRPr="00423EC2" w:rsidRDefault="00605E9A" w:rsidP="0008174C">
            <w:pPr>
              <w:pStyle w:val="Prrafodelista"/>
              <w:numPr>
                <w:ilvl w:val="0"/>
                <w:numId w:val="2"/>
              </w:numPr>
              <w:ind w:left="185" w:hanging="185"/>
              <w:rPr>
                <w:rFonts w:ascii="Bookman Old Style" w:hAnsi="Bookman Old Style"/>
                <w:sz w:val="19"/>
                <w:szCs w:val="19"/>
              </w:rPr>
            </w:pPr>
            <w:r w:rsidRPr="00423EC2">
              <w:rPr>
                <w:rFonts w:ascii="Bookman Old Style" w:hAnsi="Bookman Old Style"/>
                <w:sz w:val="19"/>
                <w:szCs w:val="19"/>
              </w:rPr>
              <w:t>A falta de CAP (techo en la valorización), se adquieren acciones con descuento (entre el 10% y 20%).</w:t>
            </w:r>
          </w:p>
          <w:p w14:paraId="76903149" w14:textId="77777777" w:rsidR="00605E9A" w:rsidRPr="00423EC2" w:rsidRDefault="00605E9A" w:rsidP="0008174C">
            <w:pPr>
              <w:pStyle w:val="Prrafodelista"/>
              <w:numPr>
                <w:ilvl w:val="0"/>
                <w:numId w:val="2"/>
              </w:numPr>
              <w:ind w:left="185" w:hanging="185"/>
              <w:rPr>
                <w:rFonts w:ascii="Bookman Old Style" w:hAnsi="Bookman Old Style"/>
                <w:sz w:val="19"/>
                <w:szCs w:val="19"/>
              </w:rPr>
            </w:pPr>
            <w:r w:rsidRPr="00423EC2">
              <w:rPr>
                <w:rFonts w:ascii="Bookman Old Style" w:hAnsi="Bookman Old Style"/>
                <w:sz w:val="19"/>
                <w:szCs w:val="19"/>
              </w:rPr>
              <w:t>Se recupera inversión con interés.</w:t>
            </w:r>
          </w:p>
          <w:p w14:paraId="14BFC2E5" w14:textId="77777777" w:rsidR="00605E9A" w:rsidRPr="00423EC2" w:rsidRDefault="00605E9A" w:rsidP="0008174C">
            <w:pPr>
              <w:pStyle w:val="Prrafodelista"/>
              <w:numPr>
                <w:ilvl w:val="0"/>
                <w:numId w:val="2"/>
              </w:numPr>
              <w:ind w:left="185" w:hanging="185"/>
              <w:rPr>
                <w:rFonts w:ascii="Bookman Old Style" w:hAnsi="Bookman Old Style"/>
                <w:sz w:val="19"/>
                <w:szCs w:val="19"/>
              </w:rPr>
            </w:pPr>
            <w:r w:rsidRPr="00423EC2">
              <w:rPr>
                <w:rFonts w:ascii="Bookman Old Style" w:hAnsi="Bookman Old Style"/>
                <w:sz w:val="19"/>
                <w:szCs w:val="19"/>
              </w:rPr>
              <w:t>Derechos especiales.</w:t>
            </w:r>
          </w:p>
          <w:p w14:paraId="1BA48AF5" w14:textId="77777777" w:rsidR="00605E9A" w:rsidRPr="00423EC2" w:rsidRDefault="00605E9A" w:rsidP="0008174C">
            <w:pPr>
              <w:pStyle w:val="Prrafodelista"/>
              <w:numPr>
                <w:ilvl w:val="0"/>
                <w:numId w:val="2"/>
              </w:numPr>
              <w:ind w:left="185" w:hanging="185"/>
              <w:rPr>
                <w:rFonts w:ascii="Bookman Old Style" w:hAnsi="Bookman Old Style"/>
                <w:sz w:val="19"/>
                <w:szCs w:val="19"/>
              </w:rPr>
            </w:pPr>
            <w:r w:rsidRPr="00423EC2">
              <w:rPr>
                <w:rFonts w:ascii="Bookman Old Style" w:hAnsi="Bookman Old Style"/>
                <w:sz w:val="19"/>
                <w:szCs w:val="19"/>
              </w:rPr>
              <w:t>El inversionista recibe un contrato de crédito convertible.</w:t>
            </w:r>
          </w:p>
        </w:tc>
        <w:tc>
          <w:tcPr>
            <w:tcW w:w="3377" w:type="dxa"/>
          </w:tcPr>
          <w:p w14:paraId="1273A296" w14:textId="77777777" w:rsidR="00605E9A" w:rsidRPr="00423EC2" w:rsidRDefault="00605E9A" w:rsidP="0008174C">
            <w:pPr>
              <w:pStyle w:val="Prrafodelista"/>
              <w:numPr>
                <w:ilvl w:val="0"/>
                <w:numId w:val="2"/>
              </w:numPr>
              <w:tabs>
                <w:tab w:val="left" w:pos="338"/>
              </w:tabs>
              <w:ind w:left="338" w:hanging="288"/>
              <w:rPr>
                <w:rFonts w:ascii="Bookman Old Style" w:hAnsi="Bookman Old Style"/>
                <w:sz w:val="19"/>
                <w:szCs w:val="19"/>
              </w:rPr>
            </w:pPr>
            <w:r w:rsidRPr="00423EC2">
              <w:rPr>
                <w:rFonts w:ascii="Bookman Old Style" w:hAnsi="Bookman Old Style"/>
                <w:sz w:val="19"/>
                <w:szCs w:val="19"/>
              </w:rPr>
              <w:t>Posibilidad de aumentar el capital de forma rápida y simple.</w:t>
            </w:r>
          </w:p>
          <w:p w14:paraId="79311633" w14:textId="77777777" w:rsidR="00605E9A" w:rsidRPr="00423EC2" w:rsidRDefault="00605E9A" w:rsidP="0008174C">
            <w:pPr>
              <w:pStyle w:val="Prrafodelista"/>
              <w:numPr>
                <w:ilvl w:val="0"/>
                <w:numId w:val="2"/>
              </w:numPr>
              <w:tabs>
                <w:tab w:val="left" w:pos="338"/>
              </w:tabs>
              <w:ind w:left="338" w:hanging="288"/>
              <w:rPr>
                <w:rFonts w:ascii="Bookman Old Style" w:hAnsi="Bookman Old Style"/>
                <w:sz w:val="19"/>
                <w:szCs w:val="19"/>
              </w:rPr>
            </w:pPr>
            <w:r w:rsidRPr="00423EC2">
              <w:rPr>
                <w:rFonts w:ascii="Bookman Old Style" w:hAnsi="Bookman Old Style"/>
                <w:sz w:val="19"/>
                <w:szCs w:val="19"/>
              </w:rPr>
              <w:t>El titular de la nota se vuelve el acreedor de la compañía hasta en tanto, no ocurra un Evento de Conversión.</w:t>
            </w:r>
          </w:p>
          <w:p w14:paraId="6B2DAE31" w14:textId="77777777" w:rsidR="00605E9A" w:rsidRPr="00423EC2" w:rsidRDefault="00605E9A" w:rsidP="0008174C">
            <w:pPr>
              <w:pStyle w:val="Prrafodelista"/>
              <w:numPr>
                <w:ilvl w:val="0"/>
                <w:numId w:val="2"/>
              </w:numPr>
              <w:tabs>
                <w:tab w:val="left" w:pos="338"/>
              </w:tabs>
              <w:ind w:left="338" w:hanging="288"/>
              <w:rPr>
                <w:rFonts w:ascii="Bookman Old Style" w:hAnsi="Bookman Old Style"/>
                <w:sz w:val="19"/>
                <w:szCs w:val="19"/>
              </w:rPr>
            </w:pPr>
            <w:r w:rsidRPr="00423EC2">
              <w:rPr>
                <w:rFonts w:ascii="Bookman Old Style" w:hAnsi="Bookman Old Style"/>
                <w:sz w:val="19"/>
                <w:szCs w:val="19"/>
              </w:rPr>
              <w:t>Se pueden condonar los intereses.</w:t>
            </w:r>
          </w:p>
        </w:tc>
        <w:tc>
          <w:tcPr>
            <w:tcW w:w="3260" w:type="dxa"/>
          </w:tcPr>
          <w:p w14:paraId="2667AA0C" w14:textId="77777777" w:rsidR="00605E9A" w:rsidRPr="00423EC2" w:rsidRDefault="00605E9A" w:rsidP="0008174C">
            <w:pPr>
              <w:pStyle w:val="Prrafodelista"/>
              <w:numPr>
                <w:ilvl w:val="0"/>
                <w:numId w:val="2"/>
              </w:numPr>
              <w:ind w:left="354" w:hanging="284"/>
              <w:rPr>
                <w:rFonts w:ascii="Bookman Old Style" w:hAnsi="Bookman Old Style"/>
                <w:sz w:val="19"/>
                <w:szCs w:val="19"/>
              </w:rPr>
            </w:pPr>
            <w:r w:rsidRPr="00423EC2">
              <w:rPr>
                <w:rFonts w:ascii="Bookman Old Style" w:hAnsi="Bookman Old Style"/>
                <w:sz w:val="19"/>
                <w:szCs w:val="19"/>
              </w:rPr>
              <w:t>Por Financiamiento de Capital Calificado.</w:t>
            </w:r>
          </w:p>
          <w:p w14:paraId="71F35025" w14:textId="77777777" w:rsidR="00605E9A" w:rsidRPr="00423EC2" w:rsidRDefault="00605E9A" w:rsidP="0008174C">
            <w:pPr>
              <w:pStyle w:val="Prrafodelista"/>
              <w:numPr>
                <w:ilvl w:val="0"/>
                <w:numId w:val="2"/>
              </w:numPr>
              <w:ind w:left="354" w:hanging="284"/>
              <w:rPr>
                <w:rFonts w:ascii="Bookman Old Style" w:hAnsi="Bookman Old Style"/>
                <w:sz w:val="19"/>
                <w:szCs w:val="19"/>
              </w:rPr>
            </w:pPr>
            <w:r w:rsidRPr="00423EC2">
              <w:rPr>
                <w:rFonts w:ascii="Bookman Old Style" w:hAnsi="Bookman Old Style"/>
                <w:sz w:val="19"/>
                <w:szCs w:val="19"/>
              </w:rPr>
              <w:t>Evento de Liquidez.</w:t>
            </w:r>
          </w:p>
          <w:p w14:paraId="1E5687B7" w14:textId="77777777" w:rsidR="00605E9A" w:rsidRPr="00423EC2" w:rsidRDefault="00605E9A" w:rsidP="0008174C">
            <w:pPr>
              <w:pStyle w:val="Prrafodelista"/>
              <w:numPr>
                <w:ilvl w:val="0"/>
                <w:numId w:val="2"/>
              </w:numPr>
              <w:ind w:left="354" w:hanging="284"/>
              <w:rPr>
                <w:rFonts w:ascii="Bookman Old Style" w:hAnsi="Bookman Old Style"/>
                <w:sz w:val="19"/>
                <w:szCs w:val="19"/>
              </w:rPr>
            </w:pPr>
            <w:r w:rsidRPr="00423EC2">
              <w:rPr>
                <w:rFonts w:ascii="Bookman Old Style" w:hAnsi="Bookman Old Style"/>
                <w:sz w:val="19"/>
                <w:szCs w:val="19"/>
              </w:rPr>
              <w:t>Conversión por simple vencimiento.</w:t>
            </w:r>
          </w:p>
          <w:p w14:paraId="78A13D16" w14:textId="77777777" w:rsidR="00605E9A" w:rsidRPr="00423EC2" w:rsidRDefault="00605E9A" w:rsidP="000E1AC4">
            <w:pPr>
              <w:pStyle w:val="Prrafodelista"/>
              <w:rPr>
                <w:rFonts w:ascii="Bookman Old Style" w:hAnsi="Bookman Old Style"/>
                <w:sz w:val="19"/>
                <w:szCs w:val="19"/>
              </w:rPr>
            </w:pPr>
          </w:p>
        </w:tc>
      </w:tr>
      <w:tr w:rsidR="00605E9A" w:rsidRPr="00423EC2" w14:paraId="23E09208" w14:textId="77777777" w:rsidTr="00605E9A">
        <w:trPr>
          <w:trHeight w:val="351"/>
          <w:jc w:val="center"/>
        </w:trPr>
        <w:tc>
          <w:tcPr>
            <w:tcW w:w="2830" w:type="dxa"/>
            <w:shd w:val="clear" w:color="auto" w:fill="ACB9CA" w:themeFill="text2" w:themeFillTint="66"/>
          </w:tcPr>
          <w:p w14:paraId="1D7141C8" w14:textId="77777777" w:rsidR="00605E9A" w:rsidRPr="00423EC2" w:rsidRDefault="00605E9A" w:rsidP="000E1AC4">
            <w:pPr>
              <w:jc w:val="center"/>
              <w:rPr>
                <w:rFonts w:ascii="Bookman Old Style" w:hAnsi="Bookman Old Style"/>
                <w:b/>
                <w:bCs/>
                <w:sz w:val="19"/>
                <w:szCs w:val="19"/>
              </w:rPr>
            </w:pPr>
          </w:p>
          <w:p w14:paraId="1CF54B75" w14:textId="77777777" w:rsidR="00605E9A" w:rsidRPr="00423EC2" w:rsidRDefault="00605E9A" w:rsidP="000E1AC4">
            <w:pPr>
              <w:jc w:val="center"/>
              <w:rPr>
                <w:rFonts w:ascii="Bookman Old Style" w:hAnsi="Bookman Old Style"/>
                <w:b/>
                <w:bCs/>
                <w:sz w:val="19"/>
                <w:szCs w:val="19"/>
              </w:rPr>
            </w:pPr>
          </w:p>
          <w:p w14:paraId="095C8B05" w14:textId="77777777" w:rsidR="00605E9A" w:rsidRDefault="00605E9A" w:rsidP="000E1AC4">
            <w:pPr>
              <w:jc w:val="center"/>
              <w:rPr>
                <w:rFonts w:ascii="Bookman Old Style" w:hAnsi="Bookman Old Style"/>
                <w:b/>
                <w:bCs/>
                <w:sz w:val="19"/>
                <w:szCs w:val="19"/>
              </w:rPr>
            </w:pPr>
          </w:p>
          <w:p w14:paraId="3E4DE52E" w14:textId="77777777" w:rsidR="00605E9A" w:rsidRPr="00423EC2" w:rsidRDefault="00605E9A" w:rsidP="000E1AC4">
            <w:pPr>
              <w:jc w:val="center"/>
              <w:rPr>
                <w:rFonts w:ascii="Bookman Old Style" w:hAnsi="Bookman Old Style"/>
                <w:b/>
                <w:bCs/>
                <w:sz w:val="19"/>
                <w:szCs w:val="19"/>
              </w:rPr>
            </w:pPr>
          </w:p>
          <w:p w14:paraId="4D5DEF8D" w14:textId="77777777" w:rsidR="00605E9A" w:rsidRPr="00423EC2" w:rsidRDefault="00605E9A" w:rsidP="000E1AC4">
            <w:pPr>
              <w:jc w:val="center"/>
              <w:rPr>
                <w:rFonts w:ascii="Bookman Old Style" w:hAnsi="Bookman Old Style"/>
                <w:b/>
                <w:bCs/>
                <w:sz w:val="19"/>
                <w:szCs w:val="19"/>
              </w:rPr>
            </w:pPr>
          </w:p>
          <w:p w14:paraId="27BBC5E5" w14:textId="77777777" w:rsidR="00605E9A" w:rsidRPr="00423EC2" w:rsidRDefault="00605E9A" w:rsidP="000E1AC4">
            <w:pPr>
              <w:jc w:val="center"/>
              <w:rPr>
                <w:rFonts w:ascii="Bookman Old Style" w:hAnsi="Bookman Old Style"/>
                <w:b/>
                <w:bCs/>
                <w:sz w:val="19"/>
                <w:szCs w:val="19"/>
                <w:lang w:val="en-US"/>
              </w:rPr>
            </w:pPr>
            <w:r w:rsidRPr="00423EC2">
              <w:rPr>
                <w:rFonts w:ascii="Bookman Old Style" w:hAnsi="Bookman Old Style"/>
                <w:b/>
                <w:bCs/>
                <w:sz w:val="19"/>
                <w:szCs w:val="19"/>
                <w:lang w:val="en-US"/>
              </w:rPr>
              <w:t>SAFE</w:t>
            </w:r>
          </w:p>
          <w:p w14:paraId="69A3BB94" w14:textId="77777777" w:rsidR="00605E9A" w:rsidRPr="00423EC2" w:rsidRDefault="00605E9A" w:rsidP="000E1AC4">
            <w:pPr>
              <w:jc w:val="center"/>
              <w:rPr>
                <w:rFonts w:ascii="Bookman Old Style" w:hAnsi="Bookman Old Style"/>
                <w:sz w:val="19"/>
                <w:szCs w:val="19"/>
                <w:lang w:val="en-US"/>
              </w:rPr>
            </w:pPr>
            <w:r w:rsidRPr="00423EC2">
              <w:rPr>
                <w:rFonts w:ascii="Bookman Old Style" w:hAnsi="Bookman Old Style"/>
                <w:sz w:val="19"/>
                <w:szCs w:val="19"/>
                <w:lang w:val="en-US"/>
              </w:rPr>
              <w:t>(Simple Agreement for Future Equity)</w:t>
            </w:r>
          </w:p>
        </w:tc>
        <w:tc>
          <w:tcPr>
            <w:tcW w:w="4420" w:type="dxa"/>
          </w:tcPr>
          <w:p w14:paraId="4960115B" w14:textId="77777777" w:rsidR="00605E9A" w:rsidRPr="00423EC2" w:rsidRDefault="00605E9A" w:rsidP="0008174C">
            <w:pPr>
              <w:pStyle w:val="Prrafodelista"/>
              <w:numPr>
                <w:ilvl w:val="0"/>
                <w:numId w:val="2"/>
              </w:numPr>
              <w:ind w:left="202" w:hanging="202"/>
              <w:rPr>
                <w:rFonts w:ascii="Bookman Old Style" w:hAnsi="Bookman Old Style"/>
                <w:sz w:val="19"/>
                <w:szCs w:val="19"/>
              </w:rPr>
            </w:pPr>
            <w:r w:rsidRPr="00423EC2">
              <w:rPr>
                <w:rFonts w:ascii="Bookman Old Style" w:hAnsi="Bookman Old Style"/>
                <w:sz w:val="19"/>
                <w:szCs w:val="19"/>
              </w:rPr>
              <w:t>No es una deuda.</w:t>
            </w:r>
          </w:p>
          <w:p w14:paraId="05869BD1" w14:textId="77777777" w:rsidR="00605E9A" w:rsidRPr="00423EC2" w:rsidRDefault="00605E9A" w:rsidP="0008174C">
            <w:pPr>
              <w:pStyle w:val="Prrafodelista"/>
              <w:numPr>
                <w:ilvl w:val="0"/>
                <w:numId w:val="2"/>
              </w:numPr>
              <w:ind w:left="202" w:hanging="202"/>
              <w:rPr>
                <w:rFonts w:ascii="Bookman Old Style" w:hAnsi="Bookman Old Style"/>
                <w:sz w:val="19"/>
                <w:szCs w:val="19"/>
              </w:rPr>
            </w:pPr>
            <w:r w:rsidRPr="00423EC2">
              <w:rPr>
                <w:rFonts w:ascii="Bookman Old Style" w:hAnsi="Bookman Old Style"/>
                <w:sz w:val="19"/>
                <w:szCs w:val="19"/>
              </w:rPr>
              <w:t>Utilizado por compañías estadounidenses, como alternativa a la nota convertible.</w:t>
            </w:r>
          </w:p>
          <w:p w14:paraId="1814468B" w14:textId="77777777" w:rsidR="00605E9A" w:rsidRPr="00423EC2" w:rsidRDefault="00605E9A" w:rsidP="0008174C">
            <w:pPr>
              <w:pStyle w:val="Prrafodelista"/>
              <w:numPr>
                <w:ilvl w:val="0"/>
                <w:numId w:val="2"/>
              </w:numPr>
              <w:ind w:left="202" w:hanging="202"/>
              <w:rPr>
                <w:rFonts w:ascii="Bookman Old Style" w:hAnsi="Bookman Old Style"/>
                <w:sz w:val="19"/>
                <w:szCs w:val="19"/>
              </w:rPr>
            </w:pPr>
            <w:r w:rsidRPr="00423EC2">
              <w:rPr>
                <w:rFonts w:ascii="Bookman Old Style" w:hAnsi="Bookman Old Style"/>
                <w:sz w:val="19"/>
                <w:szCs w:val="19"/>
              </w:rPr>
              <w:t>No determina un valor específico por acción.</w:t>
            </w:r>
          </w:p>
          <w:p w14:paraId="5CE2FD03" w14:textId="77777777" w:rsidR="00605E9A" w:rsidRPr="00423EC2" w:rsidRDefault="00605E9A" w:rsidP="0008174C">
            <w:pPr>
              <w:pStyle w:val="Prrafodelista"/>
              <w:numPr>
                <w:ilvl w:val="0"/>
                <w:numId w:val="2"/>
              </w:numPr>
              <w:ind w:left="202" w:hanging="202"/>
              <w:rPr>
                <w:rFonts w:ascii="Bookman Old Style" w:hAnsi="Bookman Old Style"/>
                <w:sz w:val="19"/>
                <w:szCs w:val="19"/>
              </w:rPr>
            </w:pPr>
            <w:r w:rsidRPr="00423EC2">
              <w:rPr>
                <w:rFonts w:ascii="Bookman Old Style" w:hAnsi="Bookman Old Style"/>
                <w:sz w:val="19"/>
                <w:szCs w:val="19"/>
              </w:rPr>
              <w:t>El inversionista recibe un contrato de opción de suscripción de acciones que se convertirá cuando exista una inversión con valorización o un evento de liquidación.</w:t>
            </w:r>
          </w:p>
          <w:p w14:paraId="0B1156FA" w14:textId="77777777" w:rsidR="00605E9A" w:rsidRPr="00423EC2" w:rsidRDefault="00605E9A" w:rsidP="0008174C">
            <w:pPr>
              <w:pStyle w:val="Prrafodelista"/>
              <w:numPr>
                <w:ilvl w:val="0"/>
                <w:numId w:val="2"/>
              </w:numPr>
              <w:ind w:left="185" w:hanging="185"/>
              <w:rPr>
                <w:rFonts w:ascii="Bookman Old Style" w:hAnsi="Bookman Old Style"/>
                <w:sz w:val="19"/>
                <w:szCs w:val="19"/>
              </w:rPr>
            </w:pPr>
            <w:r w:rsidRPr="00423EC2">
              <w:rPr>
                <w:rFonts w:ascii="Bookman Old Style" w:hAnsi="Bookman Old Style"/>
                <w:sz w:val="19"/>
                <w:szCs w:val="19"/>
              </w:rPr>
              <w:t>Se establece un CAP.</w:t>
            </w:r>
          </w:p>
          <w:p w14:paraId="3342641A" w14:textId="77777777" w:rsidR="00605E9A" w:rsidRPr="00423EC2" w:rsidRDefault="00605E9A" w:rsidP="000E1AC4">
            <w:pPr>
              <w:pStyle w:val="Prrafodelista"/>
              <w:ind w:left="202"/>
              <w:rPr>
                <w:rFonts w:ascii="Bookman Old Style" w:hAnsi="Bookman Old Style"/>
                <w:sz w:val="19"/>
                <w:szCs w:val="19"/>
              </w:rPr>
            </w:pPr>
          </w:p>
        </w:tc>
        <w:tc>
          <w:tcPr>
            <w:tcW w:w="3377" w:type="dxa"/>
          </w:tcPr>
          <w:p w14:paraId="15070487" w14:textId="77777777" w:rsidR="00605E9A" w:rsidRPr="00423EC2" w:rsidRDefault="00605E9A" w:rsidP="000E1AC4">
            <w:pPr>
              <w:pStyle w:val="Prrafodelista"/>
              <w:numPr>
                <w:ilvl w:val="0"/>
                <w:numId w:val="3"/>
              </w:numPr>
              <w:ind w:left="311" w:hanging="283"/>
              <w:rPr>
                <w:rFonts w:ascii="Bookman Old Style" w:hAnsi="Bookman Old Style"/>
                <w:sz w:val="19"/>
                <w:szCs w:val="19"/>
              </w:rPr>
            </w:pPr>
            <w:r w:rsidRPr="00423EC2">
              <w:rPr>
                <w:rFonts w:ascii="Bookman Old Style" w:hAnsi="Bookman Old Style"/>
                <w:sz w:val="19"/>
                <w:szCs w:val="19"/>
              </w:rPr>
              <w:t>No acumula intereses.</w:t>
            </w:r>
          </w:p>
          <w:p w14:paraId="494562AB" w14:textId="77777777" w:rsidR="00605E9A" w:rsidRPr="00423EC2" w:rsidRDefault="00605E9A" w:rsidP="0008174C">
            <w:pPr>
              <w:pStyle w:val="Prrafodelista"/>
              <w:numPr>
                <w:ilvl w:val="0"/>
                <w:numId w:val="3"/>
              </w:numPr>
              <w:ind w:left="311" w:hanging="283"/>
              <w:rPr>
                <w:rFonts w:ascii="Bookman Old Style" w:hAnsi="Bookman Old Style"/>
                <w:sz w:val="19"/>
                <w:szCs w:val="19"/>
              </w:rPr>
            </w:pPr>
            <w:r w:rsidRPr="00423EC2">
              <w:rPr>
                <w:rFonts w:ascii="Bookman Old Style" w:hAnsi="Bookman Old Style"/>
                <w:sz w:val="19"/>
                <w:szCs w:val="19"/>
              </w:rPr>
              <w:t>Se convierte el monto invertido en acciones en un futuro, cuando ocurra un Evento de Conversión.</w:t>
            </w:r>
          </w:p>
          <w:p w14:paraId="05E719BC" w14:textId="77777777" w:rsidR="00605E9A" w:rsidRPr="00423EC2" w:rsidRDefault="00605E9A" w:rsidP="000E1AC4">
            <w:pPr>
              <w:ind w:left="28"/>
              <w:rPr>
                <w:rFonts w:ascii="Bookman Old Style" w:hAnsi="Bookman Old Style"/>
                <w:sz w:val="19"/>
                <w:szCs w:val="19"/>
              </w:rPr>
            </w:pPr>
          </w:p>
        </w:tc>
        <w:tc>
          <w:tcPr>
            <w:tcW w:w="3260" w:type="dxa"/>
          </w:tcPr>
          <w:p w14:paraId="54EB177D" w14:textId="77777777" w:rsidR="00605E9A" w:rsidRPr="00423EC2" w:rsidRDefault="00605E9A" w:rsidP="0008174C">
            <w:pPr>
              <w:pStyle w:val="Prrafodelista"/>
              <w:numPr>
                <w:ilvl w:val="0"/>
                <w:numId w:val="4"/>
              </w:numPr>
              <w:ind w:left="311" w:hanging="283"/>
              <w:rPr>
                <w:rFonts w:ascii="Bookman Old Style" w:hAnsi="Bookman Old Style"/>
                <w:sz w:val="19"/>
                <w:szCs w:val="19"/>
              </w:rPr>
            </w:pPr>
            <w:r w:rsidRPr="00423EC2">
              <w:rPr>
                <w:rFonts w:ascii="Bookman Old Style" w:hAnsi="Bookman Old Style"/>
                <w:sz w:val="19"/>
                <w:szCs w:val="19"/>
              </w:rPr>
              <w:t>Cierre de una ronda de financiación posterior.</w:t>
            </w:r>
          </w:p>
          <w:p w14:paraId="59F0F0FF" w14:textId="77777777" w:rsidR="00605E9A" w:rsidRPr="00423EC2" w:rsidRDefault="00605E9A" w:rsidP="0008174C">
            <w:pPr>
              <w:pStyle w:val="Prrafodelista"/>
              <w:numPr>
                <w:ilvl w:val="0"/>
                <w:numId w:val="4"/>
              </w:numPr>
              <w:ind w:left="311" w:hanging="283"/>
              <w:rPr>
                <w:rFonts w:ascii="Bookman Old Style" w:hAnsi="Bookman Old Style"/>
                <w:sz w:val="19"/>
                <w:szCs w:val="19"/>
              </w:rPr>
            </w:pPr>
            <w:r w:rsidRPr="00423EC2">
              <w:rPr>
                <w:rFonts w:ascii="Bookman Old Style" w:hAnsi="Bookman Old Style"/>
                <w:sz w:val="19"/>
                <w:szCs w:val="19"/>
              </w:rPr>
              <w:t>Evento de Liquidez.</w:t>
            </w:r>
          </w:p>
          <w:p w14:paraId="0B5A57A2" w14:textId="77777777" w:rsidR="00605E9A" w:rsidRPr="00423EC2" w:rsidRDefault="00605E9A" w:rsidP="000E1AC4">
            <w:pPr>
              <w:pStyle w:val="Prrafodelista"/>
              <w:ind w:left="311"/>
              <w:rPr>
                <w:rFonts w:ascii="Bookman Old Style" w:hAnsi="Bookman Old Style"/>
                <w:sz w:val="19"/>
                <w:szCs w:val="19"/>
              </w:rPr>
            </w:pPr>
          </w:p>
        </w:tc>
      </w:tr>
      <w:tr w:rsidR="00605E9A" w:rsidRPr="00423EC2" w14:paraId="4A5D492C" w14:textId="77777777" w:rsidTr="00605E9A">
        <w:trPr>
          <w:trHeight w:val="1059"/>
          <w:jc w:val="center"/>
        </w:trPr>
        <w:tc>
          <w:tcPr>
            <w:tcW w:w="2830" w:type="dxa"/>
            <w:shd w:val="clear" w:color="auto" w:fill="ACB9CA" w:themeFill="text2" w:themeFillTint="66"/>
          </w:tcPr>
          <w:p w14:paraId="794F0EE0" w14:textId="77777777" w:rsidR="00605E9A" w:rsidRDefault="00605E9A" w:rsidP="000E1AC4">
            <w:pPr>
              <w:jc w:val="center"/>
              <w:rPr>
                <w:rFonts w:ascii="Bookman Old Style" w:hAnsi="Bookman Old Style"/>
                <w:b/>
                <w:bCs/>
                <w:sz w:val="19"/>
                <w:szCs w:val="19"/>
                <w:lang w:val="en-US"/>
              </w:rPr>
            </w:pPr>
          </w:p>
          <w:p w14:paraId="68FA9CA3" w14:textId="77777777" w:rsidR="00605E9A" w:rsidRDefault="00605E9A" w:rsidP="000E1AC4">
            <w:pPr>
              <w:jc w:val="center"/>
              <w:rPr>
                <w:rFonts w:ascii="Bookman Old Style" w:hAnsi="Bookman Old Style"/>
                <w:b/>
                <w:bCs/>
                <w:sz w:val="19"/>
                <w:szCs w:val="19"/>
                <w:lang w:val="en-US"/>
              </w:rPr>
            </w:pPr>
          </w:p>
          <w:p w14:paraId="7157FD64" w14:textId="77777777" w:rsidR="00605E9A" w:rsidRDefault="00605E9A" w:rsidP="000E1AC4">
            <w:pPr>
              <w:jc w:val="center"/>
              <w:rPr>
                <w:rFonts w:ascii="Bookman Old Style" w:hAnsi="Bookman Old Style"/>
                <w:b/>
                <w:bCs/>
                <w:sz w:val="19"/>
                <w:szCs w:val="19"/>
                <w:lang w:val="en-US"/>
              </w:rPr>
            </w:pPr>
          </w:p>
          <w:p w14:paraId="57A0DFE9" w14:textId="77777777" w:rsidR="00605E9A" w:rsidRDefault="00605E9A" w:rsidP="000E1AC4">
            <w:pPr>
              <w:jc w:val="center"/>
              <w:rPr>
                <w:rFonts w:ascii="Bookman Old Style" w:hAnsi="Bookman Old Style"/>
                <w:b/>
                <w:bCs/>
                <w:sz w:val="19"/>
                <w:szCs w:val="19"/>
                <w:lang w:val="en-US"/>
              </w:rPr>
            </w:pPr>
          </w:p>
          <w:p w14:paraId="51BACDC7" w14:textId="77777777" w:rsidR="00605E9A" w:rsidRDefault="00605E9A" w:rsidP="000E1AC4">
            <w:pPr>
              <w:jc w:val="center"/>
              <w:rPr>
                <w:rFonts w:ascii="Bookman Old Style" w:hAnsi="Bookman Old Style"/>
                <w:b/>
                <w:bCs/>
                <w:sz w:val="19"/>
                <w:szCs w:val="19"/>
                <w:lang w:val="en-US"/>
              </w:rPr>
            </w:pPr>
          </w:p>
          <w:p w14:paraId="067526DC" w14:textId="77777777" w:rsidR="00605E9A" w:rsidRDefault="00605E9A" w:rsidP="000E1AC4">
            <w:pPr>
              <w:jc w:val="center"/>
              <w:rPr>
                <w:rFonts w:ascii="Bookman Old Style" w:hAnsi="Bookman Old Style"/>
                <w:b/>
                <w:bCs/>
                <w:sz w:val="19"/>
                <w:szCs w:val="19"/>
                <w:lang w:val="en-US"/>
              </w:rPr>
            </w:pPr>
          </w:p>
          <w:p w14:paraId="5760780C" w14:textId="77777777" w:rsidR="00605E9A" w:rsidRDefault="00605E9A" w:rsidP="000E1AC4">
            <w:pPr>
              <w:jc w:val="center"/>
              <w:rPr>
                <w:rFonts w:ascii="Bookman Old Style" w:hAnsi="Bookman Old Style"/>
                <w:b/>
                <w:bCs/>
                <w:sz w:val="19"/>
                <w:szCs w:val="19"/>
                <w:lang w:val="en-US"/>
              </w:rPr>
            </w:pPr>
          </w:p>
          <w:p w14:paraId="2AEA520E" w14:textId="77777777" w:rsidR="00605E9A" w:rsidRDefault="00605E9A" w:rsidP="000E1AC4">
            <w:pPr>
              <w:jc w:val="center"/>
              <w:rPr>
                <w:rFonts w:ascii="Bookman Old Style" w:hAnsi="Bookman Old Style"/>
                <w:b/>
                <w:bCs/>
                <w:sz w:val="19"/>
                <w:szCs w:val="19"/>
                <w:lang w:val="en-US"/>
              </w:rPr>
            </w:pPr>
          </w:p>
          <w:p w14:paraId="7A5AB9ED" w14:textId="77777777" w:rsidR="00605E9A" w:rsidRDefault="00605E9A" w:rsidP="000E1AC4">
            <w:pPr>
              <w:jc w:val="center"/>
              <w:rPr>
                <w:rFonts w:ascii="Bookman Old Style" w:hAnsi="Bookman Old Style"/>
                <w:b/>
                <w:bCs/>
                <w:sz w:val="19"/>
                <w:szCs w:val="19"/>
                <w:lang w:val="en-US"/>
              </w:rPr>
            </w:pPr>
          </w:p>
          <w:p w14:paraId="059BA6F2" w14:textId="77777777" w:rsidR="00605E9A" w:rsidRPr="00423EC2" w:rsidRDefault="00605E9A" w:rsidP="000E1AC4">
            <w:pPr>
              <w:jc w:val="center"/>
              <w:rPr>
                <w:rFonts w:ascii="Bookman Old Style" w:hAnsi="Bookman Old Style"/>
                <w:b/>
                <w:bCs/>
                <w:sz w:val="19"/>
                <w:szCs w:val="19"/>
                <w:lang w:val="en-US"/>
              </w:rPr>
            </w:pPr>
            <w:r w:rsidRPr="00423EC2">
              <w:rPr>
                <w:rFonts w:ascii="Bookman Old Style" w:hAnsi="Bookman Old Style"/>
                <w:b/>
                <w:bCs/>
                <w:sz w:val="19"/>
                <w:szCs w:val="19"/>
                <w:lang w:val="en-US"/>
              </w:rPr>
              <w:t>KISS</w:t>
            </w:r>
          </w:p>
          <w:p w14:paraId="3F60507B" w14:textId="77777777" w:rsidR="00605E9A" w:rsidRPr="00423EC2" w:rsidRDefault="00605E9A" w:rsidP="000E1AC4">
            <w:pPr>
              <w:jc w:val="center"/>
              <w:rPr>
                <w:rFonts w:ascii="Bookman Old Style" w:hAnsi="Bookman Old Style"/>
                <w:b/>
                <w:bCs/>
                <w:sz w:val="19"/>
                <w:szCs w:val="19"/>
                <w:lang w:val="en-US"/>
              </w:rPr>
            </w:pPr>
            <w:r w:rsidRPr="00423EC2">
              <w:rPr>
                <w:rFonts w:ascii="Bookman Old Style" w:hAnsi="Bookman Old Style"/>
                <w:sz w:val="19"/>
                <w:szCs w:val="19"/>
                <w:lang w:val="en-US"/>
              </w:rPr>
              <w:t>(Keep it Simple Agreement)</w:t>
            </w:r>
          </w:p>
        </w:tc>
        <w:tc>
          <w:tcPr>
            <w:tcW w:w="4420" w:type="dxa"/>
          </w:tcPr>
          <w:p w14:paraId="6CFC4BDB" w14:textId="77777777" w:rsidR="00605E9A" w:rsidRPr="00423EC2" w:rsidRDefault="00605E9A" w:rsidP="0008174C">
            <w:pPr>
              <w:pStyle w:val="Prrafodelista"/>
              <w:numPr>
                <w:ilvl w:val="0"/>
                <w:numId w:val="2"/>
              </w:numPr>
              <w:ind w:left="202" w:hanging="202"/>
              <w:rPr>
                <w:rFonts w:ascii="Bookman Old Style" w:hAnsi="Bookman Old Style"/>
                <w:sz w:val="19"/>
                <w:szCs w:val="19"/>
              </w:rPr>
            </w:pPr>
            <w:r w:rsidRPr="00423EC2">
              <w:rPr>
                <w:rFonts w:ascii="Bookman Old Style" w:hAnsi="Bookman Old Style"/>
                <w:sz w:val="19"/>
                <w:szCs w:val="19"/>
              </w:rPr>
              <w:lastRenderedPageBreak/>
              <w:t>Mediador entre Nota Convertible y SAFE.</w:t>
            </w:r>
          </w:p>
          <w:p w14:paraId="25F71436" w14:textId="77777777" w:rsidR="00605E9A" w:rsidRPr="00423EC2" w:rsidRDefault="00605E9A" w:rsidP="0008174C">
            <w:pPr>
              <w:pStyle w:val="Prrafodelista"/>
              <w:numPr>
                <w:ilvl w:val="0"/>
                <w:numId w:val="2"/>
              </w:numPr>
              <w:ind w:left="202" w:hanging="202"/>
              <w:rPr>
                <w:rFonts w:ascii="Bookman Old Style" w:hAnsi="Bookman Old Style"/>
                <w:sz w:val="19"/>
                <w:szCs w:val="19"/>
              </w:rPr>
            </w:pPr>
            <w:r w:rsidRPr="00423EC2">
              <w:rPr>
                <w:rFonts w:ascii="Bookman Old Style" w:hAnsi="Bookman Old Style"/>
                <w:sz w:val="19"/>
                <w:szCs w:val="19"/>
              </w:rPr>
              <w:t>Documento corto.</w:t>
            </w:r>
          </w:p>
          <w:p w14:paraId="12CF14A4" w14:textId="77777777" w:rsidR="00605E9A" w:rsidRPr="00423EC2" w:rsidRDefault="00605E9A" w:rsidP="0008174C">
            <w:pPr>
              <w:pStyle w:val="Prrafodelista"/>
              <w:numPr>
                <w:ilvl w:val="0"/>
                <w:numId w:val="2"/>
              </w:numPr>
              <w:ind w:left="202" w:hanging="202"/>
              <w:rPr>
                <w:rFonts w:ascii="Bookman Old Style" w:hAnsi="Bookman Old Style"/>
                <w:sz w:val="19"/>
                <w:szCs w:val="19"/>
              </w:rPr>
            </w:pPr>
            <w:r w:rsidRPr="00423EC2">
              <w:rPr>
                <w:rFonts w:ascii="Bookman Old Style" w:hAnsi="Bookman Old Style"/>
                <w:sz w:val="19"/>
                <w:szCs w:val="19"/>
              </w:rPr>
              <w:t>Versión Deuda (incluye tasa de interés y un vencimiento).</w:t>
            </w:r>
          </w:p>
          <w:p w14:paraId="2D5793D2" w14:textId="77777777" w:rsidR="00605E9A" w:rsidRPr="00423EC2" w:rsidRDefault="00605E9A" w:rsidP="0008174C">
            <w:pPr>
              <w:pStyle w:val="Prrafodelista"/>
              <w:numPr>
                <w:ilvl w:val="0"/>
                <w:numId w:val="2"/>
              </w:numPr>
              <w:ind w:left="202" w:hanging="202"/>
              <w:rPr>
                <w:rFonts w:ascii="Bookman Old Style" w:hAnsi="Bookman Old Style"/>
                <w:sz w:val="19"/>
                <w:szCs w:val="19"/>
              </w:rPr>
            </w:pPr>
            <w:r w:rsidRPr="00423EC2">
              <w:rPr>
                <w:rFonts w:ascii="Bookman Old Style" w:hAnsi="Bookman Old Style"/>
                <w:sz w:val="19"/>
                <w:szCs w:val="19"/>
              </w:rPr>
              <w:t xml:space="preserve">Versión </w:t>
            </w:r>
            <w:proofErr w:type="spellStart"/>
            <w:r w:rsidRPr="00423EC2">
              <w:rPr>
                <w:rFonts w:ascii="Bookman Old Style" w:hAnsi="Bookman Old Style"/>
                <w:sz w:val="19"/>
                <w:szCs w:val="19"/>
              </w:rPr>
              <w:t>Equity</w:t>
            </w:r>
            <w:proofErr w:type="spellEnd"/>
            <w:r w:rsidRPr="00423EC2">
              <w:rPr>
                <w:rFonts w:ascii="Bookman Old Style" w:hAnsi="Bookman Old Style"/>
                <w:sz w:val="19"/>
                <w:szCs w:val="19"/>
              </w:rPr>
              <w:t xml:space="preserve"> (sin interés o vencimiento).</w:t>
            </w:r>
          </w:p>
          <w:p w14:paraId="13CEBAA1" w14:textId="77777777" w:rsidR="00605E9A" w:rsidRPr="00423EC2" w:rsidRDefault="00605E9A" w:rsidP="0008174C">
            <w:pPr>
              <w:pStyle w:val="Prrafodelista"/>
              <w:numPr>
                <w:ilvl w:val="0"/>
                <w:numId w:val="2"/>
              </w:numPr>
              <w:ind w:left="202" w:hanging="202"/>
              <w:rPr>
                <w:rFonts w:ascii="Bookman Old Style" w:hAnsi="Bookman Old Style"/>
                <w:sz w:val="19"/>
                <w:szCs w:val="19"/>
              </w:rPr>
            </w:pPr>
            <w:r w:rsidRPr="00423EC2">
              <w:rPr>
                <w:rFonts w:ascii="Bookman Old Style" w:hAnsi="Bookman Old Style"/>
                <w:sz w:val="19"/>
                <w:szCs w:val="19"/>
              </w:rPr>
              <w:t>Acumula intereses.</w:t>
            </w:r>
          </w:p>
          <w:p w14:paraId="7CDA7612" w14:textId="77777777" w:rsidR="00605E9A" w:rsidRPr="00423EC2" w:rsidRDefault="00605E9A" w:rsidP="0008174C">
            <w:pPr>
              <w:pStyle w:val="Prrafodelista"/>
              <w:numPr>
                <w:ilvl w:val="0"/>
                <w:numId w:val="2"/>
              </w:numPr>
              <w:ind w:left="202" w:hanging="202"/>
              <w:rPr>
                <w:rFonts w:ascii="Bookman Old Style" w:hAnsi="Bookman Old Style"/>
                <w:sz w:val="19"/>
                <w:szCs w:val="19"/>
              </w:rPr>
            </w:pPr>
            <w:r w:rsidRPr="00423EC2">
              <w:rPr>
                <w:rFonts w:ascii="Bookman Old Style" w:hAnsi="Bookman Old Style"/>
                <w:sz w:val="19"/>
                <w:szCs w:val="19"/>
              </w:rPr>
              <w:lastRenderedPageBreak/>
              <w:t>Fecha de vencimiento.</w:t>
            </w:r>
          </w:p>
          <w:p w14:paraId="63F08A98" w14:textId="77777777" w:rsidR="00605E9A" w:rsidRDefault="00605E9A" w:rsidP="0008174C">
            <w:pPr>
              <w:pStyle w:val="Prrafodelista"/>
              <w:numPr>
                <w:ilvl w:val="0"/>
                <w:numId w:val="2"/>
              </w:numPr>
              <w:ind w:left="185" w:hanging="185"/>
              <w:rPr>
                <w:rFonts w:ascii="Bookman Old Style" w:hAnsi="Bookman Old Style"/>
                <w:sz w:val="19"/>
                <w:szCs w:val="19"/>
              </w:rPr>
            </w:pPr>
            <w:r w:rsidRPr="00423EC2">
              <w:rPr>
                <w:rFonts w:ascii="Bookman Old Style" w:hAnsi="Bookman Old Style"/>
                <w:sz w:val="19"/>
                <w:szCs w:val="19"/>
              </w:rPr>
              <w:t>Se establece un CAP.</w:t>
            </w:r>
          </w:p>
          <w:p w14:paraId="1E01E561" w14:textId="77777777" w:rsidR="00605E9A" w:rsidRPr="00423EC2" w:rsidRDefault="00605E9A" w:rsidP="00FA0866">
            <w:pPr>
              <w:pStyle w:val="Prrafodelista"/>
              <w:ind w:left="185"/>
              <w:rPr>
                <w:rFonts w:ascii="Bookman Old Style" w:hAnsi="Bookman Old Style"/>
                <w:sz w:val="19"/>
                <w:szCs w:val="19"/>
              </w:rPr>
            </w:pPr>
          </w:p>
          <w:p w14:paraId="49C96CE4" w14:textId="77777777" w:rsidR="00605E9A" w:rsidRPr="00423EC2" w:rsidRDefault="00605E9A" w:rsidP="000E1AC4">
            <w:pPr>
              <w:pStyle w:val="Prrafodelista"/>
              <w:ind w:left="202"/>
              <w:rPr>
                <w:rFonts w:ascii="Bookman Old Style" w:hAnsi="Bookman Old Style"/>
                <w:sz w:val="19"/>
                <w:szCs w:val="19"/>
              </w:rPr>
            </w:pPr>
          </w:p>
        </w:tc>
        <w:tc>
          <w:tcPr>
            <w:tcW w:w="3377" w:type="dxa"/>
          </w:tcPr>
          <w:p w14:paraId="4F633893" w14:textId="77777777" w:rsidR="00605E9A" w:rsidRPr="00423EC2" w:rsidRDefault="00605E9A" w:rsidP="0008174C">
            <w:pPr>
              <w:pStyle w:val="Prrafodelista"/>
              <w:numPr>
                <w:ilvl w:val="0"/>
                <w:numId w:val="3"/>
              </w:numPr>
              <w:ind w:left="311" w:hanging="283"/>
              <w:rPr>
                <w:rFonts w:ascii="Bookman Old Style" w:hAnsi="Bookman Old Style"/>
                <w:sz w:val="19"/>
                <w:szCs w:val="19"/>
              </w:rPr>
            </w:pPr>
            <w:r w:rsidRPr="00423EC2">
              <w:rPr>
                <w:rFonts w:ascii="Bookman Old Style" w:hAnsi="Bookman Old Style"/>
                <w:sz w:val="19"/>
                <w:szCs w:val="19"/>
              </w:rPr>
              <w:lastRenderedPageBreak/>
              <w:t>Acceso a información (principalmente financiera).</w:t>
            </w:r>
          </w:p>
          <w:p w14:paraId="2C7E3FC3" w14:textId="77777777" w:rsidR="00605E9A" w:rsidRPr="00423EC2" w:rsidRDefault="00605E9A" w:rsidP="0008174C">
            <w:pPr>
              <w:pStyle w:val="Prrafodelista"/>
              <w:numPr>
                <w:ilvl w:val="0"/>
                <w:numId w:val="3"/>
              </w:numPr>
              <w:ind w:left="311" w:hanging="283"/>
              <w:rPr>
                <w:rFonts w:ascii="Bookman Old Style" w:hAnsi="Bookman Old Style"/>
                <w:sz w:val="19"/>
                <w:szCs w:val="19"/>
              </w:rPr>
            </w:pPr>
            <w:r w:rsidRPr="00423EC2">
              <w:rPr>
                <w:rFonts w:ascii="Bookman Old Style" w:hAnsi="Bookman Old Style"/>
                <w:sz w:val="19"/>
                <w:szCs w:val="19"/>
              </w:rPr>
              <w:t>derecho de participar en futuras rondas de financiación de la empresa.</w:t>
            </w:r>
          </w:p>
          <w:p w14:paraId="0260E5F3" w14:textId="77777777" w:rsidR="00605E9A" w:rsidRPr="00423EC2" w:rsidRDefault="00605E9A" w:rsidP="0008174C">
            <w:pPr>
              <w:pStyle w:val="Prrafodelista"/>
              <w:numPr>
                <w:ilvl w:val="0"/>
                <w:numId w:val="3"/>
              </w:numPr>
              <w:ind w:left="311" w:hanging="283"/>
              <w:rPr>
                <w:rFonts w:ascii="Bookman Old Style" w:hAnsi="Bookman Old Style"/>
                <w:sz w:val="19"/>
                <w:szCs w:val="19"/>
              </w:rPr>
            </w:pPr>
            <w:r w:rsidRPr="00423EC2">
              <w:rPr>
                <w:rFonts w:ascii="Bookman Old Style" w:hAnsi="Bookman Old Style"/>
                <w:sz w:val="19"/>
                <w:szCs w:val="19"/>
              </w:rPr>
              <w:lastRenderedPageBreak/>
              <w:t>Posibilidad de transferir el KISS a cualquier persona en cualquier momento.</w:t>
            </w:r>
          </w:p>
          <w:p w14:paraId="5A62410A" w14:textId="77777777" w:rsidR="00605E9A" w:rsidRPr="00423EC2" w:rsidRDefault="00605E9A" w:rsidP="0008174C">
            <w:pPr>
              <w:pStyle w:val="Prrafodelista"/>
              <w:numPr>
                <w:ilvl w:val="0"/>
                <w:numId w:val="3"/>
              </w:numPr>
              <w:ind w:left="311" w:hanging="283"/>
              <w:rPr>
                <w:rFonts w:ascii="Bookman Old Style" w:hAnsi="Bookman Old Style"/>
                <w:sz w:val="19"/>
                <w:szCs w:val="19"/>
              </w:rPr>
            </w:pPr>
            <w:r w:rsidRPr="00423EC2">
              <w:rPr>
                <w:rFonts w:ascii="Bookman Old Style" w:hAnsi="Bookman Old Style"/>
                <w:sz w:val="19"/>
                <w:szCs w:val="19"/>
              </w:rPr>
              <w:t>Cláusula MFN que brinda protección al inversionista en el caso de que la compañía otorgue términos más favorables a otros inversores.</w:t>
            </w:r>
          </w:p>
          <w:p w14:paraId="06660B75" w14:textId="77777777" w:rsidR="00605E9A" w:rsidRPr="00423EC2" w:rsidRDefault="00605E9A" w:rsidP="000E1AC4">
            <w:pPr>
              <w:pStyle w:val="Prrafodelista"/>
              <w:numPr>
                <w:ilvl w:val="0"/>
                <w:numId w:val="3"/>
              </w:numPr>
              <w:ind w:left="311" w:hanging="283"/>
              <w:rPr>
                <w:rFonts w:ascii="Bookman Old Style" w:hAnsi="Bookman Old Style"/>
                <w:sz w:val="19"/>
                <w:szCs w:val="19"/>
              </w:rPr>
            </w:pPr>
            <w:r w:rsidRPr="00423EC2">
              <w:rPr>
                <w:rFonts w:ascii="Bookman Old Style" w:hAnsi="Bookman Old Style"/>
                <w:sz w:val="19"/>
                <w:szCs w:val="19"/>
              </w:rPr>
              <w:t>Si hay una venta de la compañía antes de la conversión a capital, el inversor puede optar por recibir 2 veces su inversión o convertirse al límite de valoración.</w:t>
            </w:r>
          </w:p>
        </w:tc>
        <w:tc>
          <w:tcPr>
            <w:tcW w:w="3260" w:type="dxa"/>
          </w:tcPr>
          <w:p w14:paraId="0497B090" w14:textId="77777777" w:rsidR="00605E9A" w:rsidRPr="00423EC2" w:rsidRDefault="00605E9A" w:rsidP="0008174C">
            <w:pPr>
              <w:pStyle w:val="Prrafodelista"/>
              <w:numPr>
                <w:ilvl w:val="0"/>
                <w:numId w:val="4"/>
              </w:numPr>
              <w:ind w:left="311" w:hanging="283"/>
              <w:rPr>
                <w:rFonts w:ascii="Bookman Old Style" w:hAnsi="Bookman Old Style"/>
                <w:sz w:val="19"/>
                <w:szCs w:val="19"/>
              </w:rPr>
            </w:pPr>
            <w:r w:rsidRPr="00423EC2">
              <w:rPr>
                <w:rFonts w:ascii="Bookman Old Style" w:hAnsi="Bookman Old Style"/>
                <w:sz w:val="19"/>
                <w:szCs w:val="19"/>
              </w:rPr>
              <w:lastRenderedPageBreak/>
              <w:t>Hay conversión automática de acciones preferentes en la medida que haya un levantamiento de capital calificado.</w:t>
            </w:r>
          </w:p>
        </w:tc>
      </w:tr>
      <w:tr w:rsidR="00605E9A" w:rsidRPr="00423EC2" w14:paraId="75936445" w14:textId="77777777" w:rsidTr="00605E9A">
        <w:trPr>
          <w:trHeight w:val="1059"/>
          <w:jc w:val="center"/>
        </w:trPr>
        <w:tc>
          <w:tcPr>
            <w:tcW w:w="2830" w:type="dxa"/>
            <w:shd w:val="clear" w:color="auto" w:fill="ACB9CA" w:themeFill="text2" w:themeFillTint="66"/>
          </w:tcPr>
          <w:p w14:paraId="77CCF40C" w14:textId="77777777" w:rsidR="00605E9A" w:rsidRDefault="00605E9A" w:rsidP="000E1AC4">
            <w:pPr>
              <w:jc w:val="center"/>
              <w:rPr>
                <w:rFonts w:ascii="Bookman Old Style" w:hAnsi="Bookman Old Style"/>
                <w:b/>
                <w:bCs/>
                <w:sz w:val="19"/>
                <w:szCs w:val="19"/>
              </w:rPr>
            </w:pPr>
          </w:p>
          <w:p w14:paraId="0CBB731D" w14:textId="77777777" w:rsidR="00605E9A" w:rsidRPr="00423EC2" w:rsidRDefault="00605E9A" w:rsidP="000E1AC4">
            <w:pPr>
              <w:jc w:val="center"/>
              <w:rPr>
                <w:rFonts w:ascii="Bookman Old Style" w:hAnsi="Bookman Old Style"/>
                <w:b/>
                <w:bCs/>
                <w:sz w:val="19"/>
                <w:szCs w:val="19"/>
              </w:rPr>
            </w:pPr>
            <w:r w:rsidRPr="00423EC2">
              <w:rPr>
                <w:rFonts w:ascii="Bookman Old Style" w:hAnsi="Bookman Old Style"/>
                <w:b/>
                <w:bCs/>
                <w:sz w:val="19"/>
                <w:szCs w:val="19"/>
              </w:rPr>
              <w:t>ABACO</w:t>
            </w:r>
          </w:p>
          <w:p w14:paraId="0E3BD1AA" w14:textId="77777777" w:rsidR="00605E9A" w:rsidRPr="00423EC2" w:rsidRDefault="00605E9A" w:rsidP="000E1AC4">
            <w:pPr>
              <w:jc w:val="center"/>
              <w:rPr>
                <w:rFonts w:ascii="Bookman Old Style" w:hAnsi="Bookman Old Style"/>
                <w:sz w:val="19"/>
                <w:szCs w:val="19"/>
              </w:rPr>
            </w:pPr>
            <w:r w:rsidRPr="00423EC2">
              <w:rPr>
                <w:rFonts w:ascii="Bookman Old Style" w:hAnsi="Bookman Old Style"/>
                <w:sz w:val="19"/>
                <w:szCs w:val="19"/>
              </w:rPr>
              <w:t>(Acuerdo Básico de Acciones a Compra)</w:t>
            </w:r>
          </w:p>
        </w:tc>
        <w:tc>
          <w:tcPr>
            <w:tcW w:w="4420" w:type="dxa"/>
          </w:tcPr>
          <w:p w14:paraId="27E72E17" w14:textId="77777777" w:rsidR="00605E9A" w:rsidRDefault="00605E9A" w:rsidP="00531C15">
            <w:pPr>
              <w:pStyle w:val="Prrafodelista"/>
              <w:numPr>
                <w:ilvl w:val="0"/>
                <w:numId w:val="2"/>
              </w:numPr>
              <w:ind w:left="176" w:hanging="176"/>
              <w:rPr>
                <w:rFonts w:ascii="Bookman Old Style" w:hAnsi="Bookman Old Style"/>
                <w:sz w:val="19"/>
                <w:szCs w:val="19"/>
              </w:rPr>
            </w:pPr>
            <w:r>
              <w:rPr>
                <w:rFonts w:ascii="Bookman Old Style" w:hAnsi="Bookman Old Style"/>
                <w:sz w:val="19"/>
                <w:szCs w:val="19"/>
              </w:rPr>
              <w:t>Se ejecuta bajo ley mexicana</w:t>
            </w:r>
            <w:r w:rsidRPr="00531C15">
              <w:rPr>
                <w:rFonts w:ascii="Bookman Old Style" w:hAnsi="Bookman Old Style"/>
                <w:sz w:val="19"/>
                <w:szCs w:val="19"/>
              </w:rPr>
              <w:t>.</w:t>
            </w:r>
          </w:p>
          <w:p w14:paraId="6ADFFF32" w14:textId="77777777" w:rsidR="00605E9A" w:rsidRDefault="00605E9A" w:rsidP="000E1AC4">
            <w:pPr>
              <w:pStyle w:val="Prrafodelista"/>
              <w:numPr>
                <w:ilvl w:val="0"/>
                <w:numId w:val="2"/>
              </w:numPr>
              <w:ind w:left="176" w:hanging="176"/>
              <w:rPr>
                <w:rFonts w:ascii="Bookman Old Style" w:hAnsi="Bookman Old Style"/>
                <w:sz w:val="19"/>
                <w:szCs w:val="19"/>
              </w:rPr>
            </w:pPr>
            <w:r>
              <w:rPr>
                <w:rFonts w:ascii="Bookman Old Style" w:hAnsi="Bookman Old Style"/>
                <w:sz w:val="19"/>
                <w:szCs w:val="19"/>
              </w:rPr>
              <w:t>Instrumento de capital.</w:t>
            </w:r>
          </w:p>
          <w:p w14:paraId="2E4E0F03" w14:textId="77777777" w:rsidR="00605E9A" w:rsidRDefault="00605E9A" w:rsidP="000E1AC4">
            <w:pPr>
              <w:pStyle w:val="Prrafodelista"/>
              <w:numPr>
                <w:ilvl w:val="0"/>
                <w:numId w:val="2"/>
              </w:numPr>
              <w:ind w:left="176" w:hanging="176"/>
              <w:rPr>
                <w:rFonts w:ascii="Bookman Old Style" w:hAnsi="Bookman Old Style"/>
                <w:sz w:val="19"/>
                <w:szCs w:val="19"/>
              </w:rPr>
            </w:pPr>
            <w:r>
              <w:rPr>
                <w:rFonts w:ascii="Bookman Old Style" w:hAnsi="Bookman Old Style"/>
                <w:sz w:val="19"/>
                <w:szCs w:val="19"/>
              </w:rPr>
              <w:t>Práctico y sencillo.</w:t>
            </w:r>
          </w:p>
          <w:p w14:paraId="03A2A4A9" w14:textId="77777777" w:rsidR="00605E9A" w:rsidRPr="00A90C4E" w:rsidRDefault="00605E9A" w:rsidP="008A3A9E">
            <w:pPr>
              <w:pStyle w:val="Prrafodelista"/>
              <w:ind w:left="176"/>
              <w:rPr>
                <w:rFonts w:ascii="Bookman Old Style" w:hAnsi="Bookman Old Style"/>
                <w:sz w:val="19"/>
                <w:szCs w:val="19"/>
              </w:rPr>
            </w:pPr>
          </w:p>
        </w:tc>
        <w:tc>
          <w:tcPr>
            <w:tcW w:w="3377" w:type="dxa"/>
          </w:tcPr>
          <w:p w14:paraId="11938E36" w14:textId="77777777" w:rsidR="00605E9A" w:rsidRDefault="00605E9A" w:rsidP="0008174C">
            <w:pPr>
              <w:pStyle w:val="Prrafodelista"/>
              <w:numPr>
                <w:ilvl w:val="0"/>
                <w:numId w:val="6"/>
              </w:numPr>
              <w:ind w:left="311" w:hanging="311"/>
              <w:rPr>
                <w:rFonts w:ascii="Bookman Old Style" w:hAnsi="Bookman Old Style"/>
                <w:sz w:val="19"/>
                <w:szCs w:val="19"/>
              </w:rPr>
            </w:pPr>
            <w:r w:rsidRPr="00423EC2">
              <w:rPr>
                <w:rFonts w:ascii="Bookman Old Style" w:hAnsi="Bookman Old Style"/>
                <w:sz w:val="19"/>
                <w:szCs w:val="19"/>
              </w:rPr>
              <w:t>Sin necesidad de Valuación.</w:t>
            </w:r>
          </w:p>
          <w:p w14:paraId="64C3648A" w14:textId="77777777" w:rsidR="00605E9A" w:rsidRPr="00423EC2" w:rsidRDefault="00605E9A" w:rsidP="0008174C">
            <w:pPr>
              <w:pStyle w:val="Prrafodelista"/>
              <w:numPr>
                <w:ilvl w:val="0"/>
                <w:numId w:val="6"/>
              </w:numPr>
              <w:ind w:left="311" w:hanging="311"/>
              <w:rPr>
                <w:rFonts w:ascii="Bookman Old Style" w:hAnsi="Bookman Old Style"/>
                <w:sz w:val="19"/>
                <w:szCs w:val="19"/>
              </w:rPr>
            </w:pPr>
            <w:r w:rsidRPr="00531C15">
              <w:rPr>
                <w:rFonts w:ascii="Bookman Old Style" w:hAnsi="Bookman Old Style"/>
                <w:sz w:val="19"/>
                <w:szCs w:val="19"/>
              </w:rPr>
              <w:t>Flexibilidad para obtener financiamiento continuo</w:t>
            </w:r>
            <w:r>
              <w:rPr>
                <w:rFonts w:ascii="Bookman Old Style" w:hAnsi="Bookman Old Style"/>
                <w:sz w:val="19"/>
                <w:szCs w:val="19"/>
              </w:rPr>
              <w:t>.</w:t>
            </w:r>
          </w:p>
        </w:tc>
        <w:tc>
          <w:tcPr>
            <w:tcW w:w="3260" w:type="dxa"/>
          </w:tcPr>
          <w:p w14:paraId="4D8A5E7A" w14:textId="77777777" w:rsidR="00605E9A" w:rsidRPr="00423EC2" w:rsidRDefault="00605E9A" w:rsidP="00A90C4E">
            <w:pPr>
              <w:pStyle w:val="Prrafodelista"/>
              <w:numPr>
                <w:ilvl w:val="0"/>
                <w:numId w:val="2"/>
              </w:numPr>
              <w:ind w:left="354" w:hanging="284"/>
              <w:rPr>
                <w:rFonts w:ascii="Bookman Old Style" w:hAnsi="Bookman Old Style"/>
                <w:sz w:val="19"/>
                <w:szCs w:val="19"/>
              </w:rPr>
            </w:pPr>
            <w:r w:rsidRPr="00423EC2">
              <w:rPr>
                <w:rFonts w:ascii="Bookman Old Style" w:hAnsi="Bookman Old Style"/>
                <w:sz w:val="19"/>
                <w:szCs w:val="19"/>
              </w:rPr>
              <w:t>Por Financiamiento de Capital Calificado.</w:t>
            </w:r>
          </w:p>
          <w:p w14:paraId="50573F3E" w14:textId="77777777" w:rsidR="00605E9A" w:rsidRPr="00423EC2" w:rsidRDefault="00605E9A" w:rsidP="00A90C4E">
            <w:pPr>
              <w:pStyle w:val="Prrafodelista"/>
              <w:numPr>
                <w:ilvl w:val="0"/>
                <w:numId w:val="2"/>
              </w:numPr>
              <w:ind w:left="354" w:hanging="284"/>
              <w:rPr>
                <w:rFonts w:ascii="Bookman Old Style" w:hAnsi="Bookman Old Style"/>
                <w:sz w:val="19"/>
                <w:szCs w:val="19"/>
              </w:rPr>
            </w:pPr>
            <w:r w:rsidRPr="00423EC2">
              <w:rPr>
                <w:rFonts w:ascii="Bookman Old Style" w:hAnsi="Bookman Old Style"/>
                <w:sz w:val="19"/>
                <w:szCs w:val="19"/>
              </w:rPr>
              <w:t>Evento de Liquidez.</w:t>
            </w:r>
          </w:p>
          <w:p w14:paraId="3E220DF5" w14:textId="77777777" w:rsidR="00605E9A" w:rsidRDefault="00605E9A" w:rsidP="00A90C4E">
            <w:pPr>
              <w:pStyle w:val="Prrafodelista"/>
              <w:numPr>
                <w:ilvl w:val="0"/>
                <w:numId w:val="2"/>
              </w:numPr>
              <w:ind w:left="354" w:hanging="284"/>
              <w:rPr>
                <w:rFonts w:ascii="Bookman Old Style" w:hAnsi="Bookman Old Style"/>
                <w:sz w:val="19"/>
                <w:szCs w:val="19"/>
              </w:rPr>
            </w:pPr>
            <w:r>
              <w:rPr>
                <w:rFonts w:ascii="Bookman Old Style" w:hAnsi="Bookman Old Style"/>
                <w:sz w:val="19"/>
                <w:szCs w:val="19"/>
              </w:rPr>
              <w:t>Evento de Disolución</w:t>
            </w:r>
            <w:r w:rsidRPr="00423EC2">
              <w:rPr>
                <w:rFonts w:ascii="Bookman Old Style" w:hAnsi="Bookman Old Style"/>
                <w:sz w:val="19"/>
                <w:szCs w:val="19"/>
              </w:rPr>
              <w:t>.</w:t>
            </w:r>
          </w:p>
          <w:p w14:paraId="3B7E4114" w14:textId="77777777" w:rsidR="00605E9A" w:rsidRPr="00234746" w:rsidRDefault="00605E9A" w:rsidP="000E1AC4">
            <w:pPr>
              <w:pStyle w:val="Prrafodelista"/>
              <w:numPr>
                <w:ilvl w:val="0"/>
                <w:numId w:val="2"/>
              </w:numPr>
              <w:ind w:left="354" w:hanging="284"/>
              <w:rPr>
                <w:rFonts w:ascii="Bookman Old Style" w:hAnsi="Bookman Old Style"/>
                <w:sz w:val="19"/>
                <w:szCs w:val="19"/>
              </w:rPr>
            </w:pPr>
            <w:r>
              <w:rPr>
                <w:rFonts w:ascii="Bookman Old Style" w:hAnsi="Bookman Old Style"/>
                <w:sz w:val="19"/>
                <w:szCs w:val="19"/>
              </w:rPr>
              <w:t>Conversión voluntaria.</w:t>
            </w:r>
          </w:p>
        </w:tc>
      </w:tr>
      <w:tr w:rsidR="00605E9A" w:rsidRPr="00423EC2" w14:paraId="1EFB924F" w14:textId="77777777" w:rsidTr="00605E9A">
        <w:trPr>
          <w:trHeight w:val="776"/>
          <w:jc w:val="center"/>
        </w:trPr>
        <w:tc>
          <w:tcPr>
            <w:tcW w:w="2830" w:type="dxa"/>
            <w:shd w:val="clear" w:color="auto" w:fill="ACB9CA" w:themeFill="text2" w:themeFillTint="66"/>
          </w:tcPr>
          <w:p w14:paraId="327A9A43" w14:textId="77777777" w:rsidR="00605E9A" w:rsidRDefault="00605E9A" w:rsidP="00C457C4">
            <w:pPr>
              <w:jc w:val="center"/>
              <w:rPr>
                <w:rFonts w:ascii="Bookman Old Style" w:hAnsi="Bookman Old Style"/>
                <w:b/>
                <w:bCs/>
                <w:sz w:val="19"/>
                <w:szCs w:val="19"/>
              </w:rPr>
            </w:pPr>
          </w:p>
          <w:p w14:paraId="247CC519" w14:textId="77777777" w:rsidR="00605E9A" w:rsidRDefault="00605E9A" w:rsidP="00C457C4">
            <w:pPr>
              <w:jc w:val="center"/>
              <w:rPr>
                <w:rFonts w:ascii="Bookman Old Style" w:hAnsi="Bookman Old Style"/>
                <w:b/>
                <w:bCs/>
                <w:sz w:val="19"/>
                <w:szCs w:val="19"/>
              </w:rPr>
            </w:pPr>
          </w:p>
          <w:p w14:paraId="61A211DE" w14:textId="77777777" w:rsidR="00605E9A" w:rsidRPr="00423EC2" w:rsidRDefault="00605E9A" w:rsidP="00C457C4">
            <w:pPr>
              <w:jc w:val="center"/>
              <w:rPr>
                <w:rFonts w:ascii="Bookman Old Style" w:hAnsi="Bookman Old Style"/>
                <w:b/>
                <w:bCs/>
                <w:sz w:val="19"/>
                <w:szCs w:val="19"/>
              </w:rPr>
            </w:pPr>
            <w:r w:rsidRPr="00423EC2">
              <w:rPr>
                <w:rFonts w:ascii="Bookman Old Style" w:hAnsi="Bookman Old Style"/>
                <w:b/>
                <w:bCs/>
                <w:sz w:val="19"/>
                <w:szCs w:val="19"/>
              </w:rPr>
              <w:t>IMIET</w:t>
            </w:r>
          </w:p>
          <w:p w14:paraId="21945DEC" w14:textId="77777777" w:rsidR="00605E9A" w:rsidRPr="00423EC2" w:rsidRDefault="00605E9A" w:rsidP="00C457C4">
            <w:pPr>
              <w:jc w:val="center"/>
              <w:rPr>
                <w:rFonts w:ascii="Bookman Old Style" w:hAnsi="Bookman Old Style"/>
                <w:sz w:val="19"/>
                <w:szCs w:val="19"/>
              </w:rPr>
            </w:pPr>
            <w:r w:rsidRPr="00423EC2">
              <w:rPr>
                <w:rFonts w:ascii="Bookman Old Style" w:hAnsi="Bookman Old Style"/>
                <w:sz w:val="19"/>
                <w:szCs w:val="19"/>
              </w:rPr>
              <w:t>(Instrumento Mexicano de Inversión en Etapas Tempranas)</w:t>
            </w:r>
          </w:p>
        </w:tc>
        <w:tc>
          <w:tcPr>
            <w:tcW w:w="4420" w:type="dxa"/>
          </w:tcPr>
          <w:p w14:paraId="53E3EC44" w14:textId="77777777" w:rsidR="00605E9A" w:rsidRPr="00423EC2" w:rsidRDefault="00605E9A" w:rsidP="00C457C4">
            <w:pPr>
              <w:pStyle w:val="Prrafodelista"/>
              <w:numPr>
                <w:ilvl w:val="0"/>
                <w:numId w:val="2"/>
              </w:numPr>
              <w:ind w:left="176" w:hanging="176"/>
              <w:rPr>
                <w:rFonts w:ascii="Bookman Old Style" w:hAnsi="Bookman Old Style"/>
                <w:sz w:val="19"/>
                <w:szCs w:val="19"/>
              </w:rPr>
            </w:pPr>
            <w:r w:rsidRPr="00423EC2">
              <w:rPr>
                <w:rFonts w:ascii="Bookman Old Style" w:hAnsi="Bookman Old Style"/>
                <w:sz w:val="19"/>
                <w:szCs w:val="19"/>
              </w:rPr>
              <w:t>Es un compromiso contractual para adquirir una futura participación en el capital de una compañía.</w:t>
            </w:r>
          </w:p>
          <w:p w14:paraId="69EBDC1F" w14:textId="77777777" w:rsidR="00605E9A" w:rsidRDefault="00605E9A" w:rsidP="00C457C4">
            <w:pPr>
              <w:pStyle w:val="Prrafodelista"/>
              <w:numPr>
                <w:ilvl w:val="0"/>
                <w:numId w:val="2"/>
              </w:numPr>
              <w:ind w:left="176" w:hanging="176"/>
              <w:rPr>
                <w:rFonts w:ascii="Bookman Old Style" w:hAnsi="Bookman Old Style"/>
                <w:sz w:val="19"/>
                <w:szCs w:val="19"/>
              </w:rPr>
            </w:pPr>
            <w:r w:rsidRPr="00423EC2">
              <w:rPr>
                <w:rFonts w:ascii="Bookman Old Style" w:hAnsi="Bookman Old Style"/>
                <w:sz w:val="19"/>
                <w:szCs w:val="19"/>
              </w:rPr>
              <w:t>Permite convertir la inversión en capital sin generar obligaciones tributarias adicionales.</w:t>
            </w:r>
          </w:p>
          <w:p w14:paraId="18686EED" w14:textId="77777777" w:rsidR="00605E9A" w:rsidRPr="00423EC2" w:rsidRDefault="00605E9A" w:rsidP="004E352E">
            <w:pPr>
              <w:pStyle w:val="Prrafodelista"/>
              <w:ind w:left="176"/>
              <w:rPr>
                <w:rFonts w:ascii="Bookman Old Style" w:hAnsi="Bookman Old Style"/>
                <w:sz w:val="19"/>
                <w:szCs w:val="19"/>
              </w:rPr>
            </w:pPr>
          </w:p>
        </w:tc>
        <w:tc>
          <w:tcPr>
            <w:tcW w:w="3377" w:type="dxa"/>
          </w:tcPr>
          <w:p w14:paraId="79742F85" w14:textId="77777777" w:rsidR="00605E9A" w:rsidRPr="00423EC2" w:rsidRDefault="00605E9A" w:rsidP="00C457C4">
            <w:pPr>
              <w:pStyle w:val="Prrafodelista"/>
              <w:numPr>
                <w:ilvl w:val="0"/>
                <w:numId w:val="2"/>
              </w:numPr>
              <w:ind w:left="338" w:hanging="283"/>
              <w:rPr>
                <w:rFonts w:ascii="Bookman Old Style" w:hAnsi="Bookman Old Style"/>
                <w:sz w:val="19"/>
                <w:szCs w:val="19"/>
              </w:rPr>
            </w:pPr>
            <w:r w:rsidRPr="00423EC2">
              <w:rPr>
                <w:rFonts w:ascii="Bookman Old Style" w:hAnsi="Bookman Old Style"/>
                <w:sz w:val="19"/>
                <w:szCs w:val="19"/>
              </w:rPr>
              <w:t>La inversión que realiza el inversionista no se considera una deuda, sino como una contribución de capital.</w:t>
            </w:r>
          </w:p>
          <w:p w14:paraId="794FEEB5" w14:textId="77777777" w:rsidR="00605E9A" w:rsidRDefault="00605E9A" w:rsidP="00C457C4">
            <w:pPr>
              <w:pStyle w:val="Prrafodelista"/>
              <w:numPr>
                <w:ilvl w:val="0"/>
                <w:numId w:val="2"/>
              </w:numPr>
              <w:ind w:left="338" w:hanging="283"/>
              <w:rPr>
                <w:rFonts w:ascii="Bookman Old Style" w:hAnsi="Bookman Old Style"/>
                <w:sz w:val="19"/>
                <w:szCs w:val="19"/>
              </w:rPr>
            </w:pPr>
            <w:r>
              <w:rPr>
                <w:rFonts w:ascii="Bookman Old Style" w:hAnsi="Bookman Old Style"/>
                <w:sz w:val="19"/>
                <w:szCs w:val="19"/>
              </w:rPr>
              <w:t>Tiene vencimiento.</w:t>
            </w:r>
          </w:p>
          <w:p w14:paraId="0A859D74" w14:textId="77777777" w:rsidR="00605E9A" w:rsidRPr="00423EC2" w:rsidRDefault="00605E9A" w:rsidP="00C457C4">
            <w:pPr>
              <w:pStyle w:val="Prrafodelista"/>
              <w:numPr>
                <w:ilvl w:val="0"/>
                <w:numId w:val="2"/>
              </w:numPr>
              <w:ind w:left="338" w:hanging="283"/>
              <w:rPr>
                <w:rFonts w:ascii="Bookman Old Style" w:hAnsi="Bookman Old Style"/>
                <w:sz w:val="19"/>
                <w:szCs w:val="19"/>
              </w:rPr>
            </w:pPr>
            <w:r w:rsidRPr="00423EC2">
              <w:rPr>
                <w:rFonts w:ascii="Bookman Old Style" w:hAnsi="Bookman Old Style"/>
                <w:sz w:val="19"/>
                <w:szCs w:val="19"/>
              </w:rPr>
              <w:t>El inversionista conoce el número de acciones a recibir al celebrar el contrato.</w:t>
            </w:r>
          </w:p>
          <w:p w14:paraId="42F61CD1" w14:textId="77777777" w:rsidR="00605E9A" w:rsidRPr="00423EC2" w:rsidRDefault="00605E9A" w:rsidP="00C457C4">
            <w:pPr>
              <w:pStyle w:val="Prrafodelista"/>
              <w:numPr>
                <w:ilvl w:val="0"/>
                <w:numId w:val="2"/>
              </w:numPr>
              <w:ind w:left="338" w:hanging="283"/>
              <w:rPr>
                <w:rFonts w:ascii="Bookman Old Style" w:hAnsi="Bookman Old Style"/>
                <w:sz w:val="19"/>
                <w:szCs w:val="19"/>
              </w:rPr>
            </w:pPr>
            <w:r w:rsidRPr="00423EC2">
              <w:rPr>
                <w:rFonts w:ascii="Bookman Old Style" w:hAnsi="Bookman Old Style"/>
                <w:sz w:val="19"/>
                <w:szCs w:val="19"/>
              </w:rPr>
              <w:t>La inversión debe ser considerada como aporte para futuros aumentos de capital.</w:t>
            </w:r>
          </w:p>
        </w:tc>
        <w:tc>
          <w:tcPr>
            <w:tcW w:w="3260" w:type="dxa"/>
          </w:tcPr>
          <w:p w14:paraId="782CB22B" w14:textId="77777777" w:rsidR="00605E9A" w:rsidRPr="00423EC2" w:rsidRDefault="00605E9A" w:rsidP="00C457C4">
            <w:pPr>
              <w:pStyle w:val="Prrafodelista"/>
              <w:numPr>
                <w:ilvl w:val="0"/>
                <w:numId w:val="2"/>
              </w:numPr>
              <w:ind w:left="354" w:hanging="284"/>
              <w:rPr>
                <w:rFonts w:ascii="Bookman Old Style" w:hAnsi="Bookman Old Style"/>
                <w:sz w:val="19"/>
                <w:szCs w:val="19"/>
              </w:rPr>
            </w:pPr>
            <w:r w:rsidRPr="00423EC2">
              <w:rPr>
                <w:rFonts w:ascii="Bookman Old Style" w:hAnsi="Bookman Old Style"/>
                <w:sz w:val="19"/>
                <w:szCs w:val="19"/>
              </w:rPr>
              <w:t>Por Financiamiento de Capital Calificado.</w:t>
            </w:r>
          </w:p>
          <w:p w14:paraId="65BC1394" w14:textId="77777777" w:rsidR="00605E9A" w:rsidRPr="00423EC2" w:rsidRDefault="00605E9A" w:rsidP="00C457C4">
            <w:pPr>
              <w:pStyle w:val="Prrafodelista"/>
              <w:numPr>
                <w:ilvl w:val="0"/>
                <w:numId w:val="2"/>
              </w:numPr>
              <w:ind w:left="354" w:hanging="284"/>
              <w:rPr>
                <w:rFonts w:ascii="Bookman Old Style" w:hAnsi="Bookman Old Style"/>
                <w:sz w:val="19"/>
                <w:szCs w:val="19"/>
              </w:rPr>
            </w:pPr>
            <w:r w:rsidRPr="00423EC2">
              <w:rPr>
                <w:rFonts w:ascii="Bookman Old Style" w:hAnsi="Bookman Old Style"/>
                <w:sz w:val="19"/>
                <w:szCs w:val="19"/>
              </w:rPr>
              <w:t>Evento de Liquidez.</w:t>
            </w:r>
          </w:p>
          <w:p w14:paraId="7B480D9F" w14:textId="77777777" w:rsidR="00605E9A" w:rsidRPr="00423EC2" w:rsidRDefault="00605E9A" w:rsidP="00C457C4">
            <w:pPr>
              <w:pStyle w:val="Prrafodelista"/>
              <w:numPr>
                <w:ilvl w:val="0"/>
                <w:numId w:val="2"/>
              </w:numPr>
              <w:ind w:left="354" w:hanging="284"/>
              <w:rPr>
                <w:rFonts w:ascii="Bookman Old Style" w:hAnsi="Bookman Old Style"/>
                <w:sz w:val="19"/>
                <w:szCs w:val="19"/>
              </w:rPr>
            </w:pPr>
            <w:r>
              <w:rPr>
                <w:rFonts w:ascii="Bookman Old Style" w:hAnsi="Bookman Old Style"/>
                <w:sz w:val="19"/>
                <w:szCs w:val="19"/>
              </w:rPr>
              <w:t>Conversión voluntaria.</w:t>
            </w:r>
          </w:p>
          <w:p w14:paraId="163F8C71" w14:textId="77777777" w:rsidR="00605E9A" w:rsidRPr="00423EC2" w:rsidRDefault="00605E9A" w:rsidP="00C457C4">
            <w:pPr>
              <w:rPr>
                <w:rFonts w:ascii="Bookman Old Style" w:hAnsi="Bookman Old Style"/>
                <w:sz w:val="19"/>
                <w:szCs w:val="19"/>
              </w:rPr>
            </w:pPr>
          </w:p>
        </w:tc>
      </w:tr>
    </w:tbl>
    <w:p w14:paraId="3428B093" w14:textId="77777777" w:rsidR="0008174C" w:rsidRPr="00B10A15" w:rsidRDefault="0008174C" w:rsidP="0008174C"/>
    <w:p w14:paraId="180AC302" w14:textId="77777777" w:rsidR="0008174C" w:rsidRPr="00804249" w:rsidRDefault="00804249" w:rsidP="0008174C">
      <w:pPr>
        <w:pStyle w:val="Sinespaciado"/>
        <w:jc w:val="both"/>
        <w:rPr>
          <w:rFonts w:ascii="Bookman Old Style" w:hAnsi="Bookman Old Style"/>
          <w:b/>
        </w:rPr>
      </w:pPr>
      <w:r w:rsidRPr="00804249">
        <w:rPr>
          <w:rFonts w:ascii="Bookman Old Style" w:hAnsi="Bookman Old Style"/>
          <w:b/>
        </w:rPr>
        <w:t>GOBERNANCIA:</w:t>
      </w:r>
    </w:p>
    <w:p w14:paraId="6FE7E1C4" w14:textId="77777777" w:rsidR="00804249" w:rsidRPr="00804249" w:rsidRDefault="00804249" w:rsidP="0008174C">
      <w:pPr>
        <w:pStyle w:val="Sinespaciado"/>
        <w:jc w:val="both"/>
        <w:rPr>
          <w:rFonts w:ascii="Bookman Old Style" w:hAnsi="Bookman Old Style"/>
          <w:b/>
        </w:rPr>
      </w:pPr>
    </w:p>
    <w:p w14:paraId="2DCD0554" w14:textId="77777777" w:rsidR="00804249" w:rsidRPr="00804249" w:rsidRDefault="00804249" w:rsidP="00804249">
      <w:pPr>
        <w:rPr>
          <w:rFonts w:ascii="Bookman Old Style" w:hAnsi="Bookman Old Style"/>
          <w:b/>
        </w:rPr>
      </w:pPr>
      <w:r w:rsidRPr="00804249">
        <w:rPr>
          <w:rFonts w:ascii="Bookman Old Style" w:hAnsi="Bookman Old Style"/>
        </w:rPr>
        <w:t>Cualquier Instrumento de Inversión no te hace accionista de la Sociedad mientras no se actualice la opción de conversión acordada. Lo anterior significa que el Inversionista no tiene derechos corporativos ni económico sobre la Sociedad mientras esté vigente el instrumento.</w:t>
      </w:r>
    </w:p>
    <w:p w14:paraId="2D523B5D" w14:textId="77777777" w:rsidR="0008174C" w:rsidRDefault="0008174C" w:rsidP="0008174C">
      <w:pPr>
        <w:pStyle w:val="Sinespaciado"/>
        <w:jc w:val="both"/>
        <w:rPr>
          <w:rFonts w:ascii="Bookman Old Style" w:hAnsi="Bookman Old Style"/>
          <w:b/>
          <w:sz w:val="21"/>
          <w:szCs w:val="21"/>
        </w:rPr>
      </w:pPr>
    </w:p>
    <w:p w14:paraId="46BC1C14" w14:textId="77777777" w:rsidR="0008174C" w:rsidRPr="00777C4C" w:rsidRDefault="0008174C" w:rsidP="0008174C">
      <w:pPr>
        <w:pStyle w:val="Sinespaciado"/>
        <w:jc w:val="both"/>
        <w:rPr>
          <w:rFonts w:ascii="Bookman Old Style" w:hAnsi="Bookman Old Style"/>
          <w:b/>
          <w:sz w:val="21"/>
          <w:szCs w:val="21"/>
        </w:rPr>
      </w:pPr>
      <w:r w:rsidRPr="00777C4C">
        <w:rPr>
          <w:rFonts w:ascii="Bookman Old Style" w:hAnsi="Bookman Old Style"/>
          <w:b/>
          <w:sz w:val="21"/>
          <w:szCs w:val="21"/>
        </w:rPr>
        <w:t>Gobierno Corporativo</w:t>
      </w:r>
    </w:p>
    <w:p w14:paraId="398DF512" w14:textId="77777777" w:rsidR="0008174C" w:rsidRPr="00E33C24" w:rsidRDefault="0008174C" w:rsidP="0008174C">
      <w:pPr>
        <w:pStyle w:val="Sinespaciado"/>
        <w:jc w:val="both"/>
        <w:rPr>
          <w:rFonts w:ascii="Bookman Old Style" w:hAnsi="Bookman Old Style"/>
          <w:b/>
        </w:rPr>
      </w:pPr>
      <w:r w:rsidRPr="00777C4C">
        <w:rPr>
          <w:rFonts w:ascii="Bookman Old Style" w:hAnsi="Bookman Old Style"/>
          <w:b/>
          <w:sz w:val="21"/>
          <w:szCs w:val="21"/>
        </w:rPr>
        <w:t>LEGAL &amp; COMPLIANCE ADVISORS, S.A.P.I. DE C.V.</w:t>
      </w:r>
    </w:p>
    <w:bookmarkEnd w:id="0"/>
    <w:p w14:paraId="15FF8A29" w14:textId="77777777" w:rsidR="0008174C" w:rsidRDefault="0008174C" w:rsidP="0008174C">
      <w:pPr>
        <w:pStyle w:val="Sinespaciado"/>
        <w:jc w:val="both"/>
        <w:rPr>
          <w:rFonts w:ascii="Bookman Old Style" w:hAnsi="Bookman Old Style"/>
          <w:b/>
        </w:rPr>
      </w:pPr>
    </w:p>
    <w:sectPr w:rsidR="0008174C" w:rsidSect="0079591F">
      <w:headerReference w:type="default" r:id="rId9"/>
      <w:footerReference w:type="default" r:id="rId10"/>
      <w:pgSz w:w="15840" w:h="12240" w:orient="landscape"/>
      <w:pgMar w:top="142" w:right="426" w:bottom="758" w:left="42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4E10E" w14:textId="77777777" w:rsidR="0079591F" w:rsidRDefault="0079591F" w:rsidP="00354BBD">
      <w:pPr>
        <w:spacing w:after="0" w:line="240" w:lineRule="auto"/>
      </w:pPr>
      <w:r>
        <w:separator/>
      </w:r>
    </w:p>
  </w:endnote>
  <w:endnote w:type="continuationSeparator" w:id="0">
    <w:p w14:paraId="71873256" w14:textId="77777777" w:rsidR="0079591F" w:rsidRDefault="0079591F" w:rsidP="0035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B39D" w14:textId="77777777" w:rsidR="00000000" w:rsidRDefault="00000000" w:rsidP="000E6C89">
    <w:pPr>
      <w:pStyle w:val="Piedepgina"/>
      <w:jc w:val="both"/>
      <w:rPr>
        <w:rFonts w:ascii="Bookman Old Style" w:hAnsi="Bookman Old Style"/>
        <w:i/>
        <w:sz w:val="16"/>
        <w:szCs w:val="16"/>
      </w:rPr>
    </w:pPr>
  </w:p>
  <w:p w14:paraId="32745B15" w14:textId="77777777" w:rsidR="00027ECE" w:rsidRDefault="00027ECE" w:rsidP="00F771C6">
    <w:pPr>
      <w:pStyle w:val="Sinespaciado"/>
      <w:jc w:val="center"/>
      <w:rPr>
        <w:rFonts w:ascii="Book Antiqua" w:hAnsi="Book Antiqua"/>
        <w:b/>
        <w:color w:val="2F5496" w:themeColor="accent1" w:themeShade="BF"/>
        <w:sz w:val="20"/>
        <w:szCs w:val="20"/>
      </w:rPr>
    </w:pPr>
    <w:r w:rsidRPr="00027ECE">
      <w:rPr>
        <w:rFonts w:ascii="Book Antiqua" w:hAnsi="Book Antiqua"/>
        <w:b/>
        <w:color w:val="2F5496" w:themeColor="accent1" w:themeShade="BF"/>
        <w:sz w:val="20"/>
        <w:szCs w:val="20"/>
      </w:rPr>
      <w:t>José Ignacio Bartolache 1926, Acacias, Benito Juárez, 03240 Ciudad de México, CDMX</w:t>
    </w:r>
  </w:p>
  <w:p w14:paraId="1C3B74C8" w14:textId="5B85AE16" w:rsidR="00000000" w:rsidRPr="008F6B6B" w:rsidRDefault="00920BCB" w:rsidP="00F771C6">
    <w:pPr>
      <w:pStyle w:val="Sinespaciado"/>
      <w:jc w:val="center"/>
      <w:rPr>
        <w:rFonts w:ascii="Book Antiqua" w:hAnsi="Book Antiqua"/>
        <w:b/>
        <w:color w:val="2F5496" w:themeColor="accent1" w:themeShade="BF"/>
        <w:sz w:val="20"/>
        <w:szCs w:val="20"/>
      </w:rPr>
    </w:pPr>
    <w:r w:rsidRPr="008F6B6B">
      <w:rPr>
        <w:rFonts w:ascii="Book Antiqua" w:hAnsi="Book Antiqua"/>
        <w:b/>
        <w:color w:val="2F5496" w:themeColor="accent1" w:themeShade="BF"/>
        <w:sz w:val="20"/>
        <w:szCs w:val="20"/>
      </w:rPr>
      <w:t>www.lcadvisors.com.mx</w:t>
    </w:r>
  </w:p>
  <w:p w14:paraId="2FFBD9A6" w14:textId="77777777" w:rsidR="00000000" w:rsidRPr="000E6C89" w:rsidRDefault="00000000" w:rsidP="00260477">
    <w:pPr>
      <w:pStyle w:val="Piedepgina"/>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40685" w14:textId="77777777" w:rsidR="0079591F" w:rsidRDefault="0079591F" w:rsidP="00354BBD">
      <w:pPr>
        <w:spacing w:after="0" w:line="240" w:lineRule="auto"/>
      </w:pPr>
      <w:r>
        <w:separator/>
      </w:r>
    </w:p>
  </w:footnote>
  <w:footnote w:type="continuationSeparator" w:id="0">
    <w:p w14:paraId="4C7DF427" w14:textId="77777777" w:rsidR="0079591F" w:rsidRDefault="0079591F" w:rsidP="00354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7A3FB" w14:textId="77777777" w:rsidR="00000000" w:rsidRPr="00883C50" w:rsidRDefault="00000000">
    <w:pPr>
      <w:pStyle w:val="Encabezado"/>
      <w:jc w:val="right"/>
      <w:rPr>
        <w:rFonts w:ascii="Book Antiqua" w:hAnsi="Book Antiqua"/>
        <w:sz w:val="18"/>
        <w:szCs w:val="18"/>
      </w:rPr>
    </w:pPr>
  </w:p>
  <w:p w14:paraId="4C7AC6AC"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0353F"/>
    <w:multiLevelType w:val="hybridMultilevel"/>
    <w:tmpl w:val="E43C4C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3A000B"/>
    <w:multiLevelType w:val="hybridMultilevel"/>
    <w:tmpl w:val="9996B8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726CD9"/>
    <w:multiLevelType w:val="hybridMultilevel"/>
    <w:tmpl w:val="8E92DF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535D27"/>
    <w:multiLevelType w:val="hybridMultilevel"/>
    <w:tmpl w:val="40BA73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476175"/>
    <w:multiLevelType w:val="hybridMultilevel"/>
    <w:tmpl w:val="390040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6D30EB"/>
    <w:multiLevelType w:val="hybridMultilevel"/>
    <w:tmpl w:val="F6A23094"/>
    <w:lvl w:ilvl="0" w:tplc="2B9AFAC0">
      <w:start w:val="1"/>
      <w:numFmt w:val="lowerLetter"/>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5D4F09"/>
    <w:multiLevelType w:val="hybridMultilevel"/>
    <w:tmpl w:val="202225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3787563">
    <w:abstractNumId w:val="5"/>
  </w:num>
  <w:num w:numId="2" w16cid:durableId="2090888155">
    <w:abstractNumId w:val="0"/>
  </w:num>
  <w:num w:numId="3" w16cid:durableId="1709259972">
    <w:abstractNumId w:val="4"/>
  </w:num>
  <w:num w:numId="4" w16cid:durableId="329678475">
    <w:abstractNumId w:val="1"/>
  </w:num>
  <w:num w:numId="5" w16cid:durableId="1125587663">
    <w:abstractNumId w:val="2"/>
  </w:num>
  <w:num w:numId="6" w16cid:durableId="2135561884">
    <w:abstractNumId w:val="6"/>
  </w:num>
  <w:num w:numId="7" w16cid:durableId="576672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4C"/>
    <w:rsid w:val="00027ECE"/>
    <w:rsid w:val="0008174C"/>
    <w:rsid w:val="002122CF"/>
    <w:rsid w:val="00234746"/>
    <w:rsid w:val="0026792F"/>
    <w:rsid w:val="002973CF"/>
    <w:rsid w:val="002D4B03"/>
    <w:rsid w:val="00354BBD"/>
    <w:rsid w:val="003B5BAF"/>
    <w:rsid w:val="00423EC2"/>
    <w:rsid w:val="0045080E"/>
    <w:rsid w:val="004E352E"/>
    <w:rsid w:val="00531C15"/>
    <w:rsid w:val="00605E9A"/>
    <w:rsid w:val="00680CC8"/>
    <w:rsid w:val="00743FF0"/>
    <w:rsid w:val="0077385E"/>
    <w:rsid w:val="0079591F"/>
    <w:rsid w:val="00804249"/>
    <w:rsid w:val="008A3A9E"/>
    <w:rsid w:val="00920BCB"/>
    <w:rsid w:val="009F0182"/>
    <w:rsid w:val="00A90C4E"/>
    <w:rsid w:val="00C457C4"/>
    <w:rsid w:val="00C857A1"/>
    <w:rsid w:val="00CD7B5B"/>
    <w:rsid w:val="00E31899"/>
    <w:rsid w:val="00E753A0"/>
    <w:rsid w:val="00FA086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1C052"/>
  <w15:chartTrackingRefBased/>
  <w15:docId w15:val="{3F35E5CA-9F40-4E06-B9E7-4C7DA44A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174C"/>
    <w:pPr>
      <w:ind w:left="720"/>
      <w:contextualSpacing/>
    </w:pPr>
  </w:style>
  <w:style w:type="paragraph" w:styleId="Piedepgina">
    <w:name w:val="footer"/>
    <w:basedOn w:val="Normal"/>
    <w:link w:val="PiedepginaCar"/>
    <w:uiPriority w:val="99"/>
    <w:unhideWhenUsed/>
    <w:rsid w:val="000817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74C"/>
  </w:style>
  <w:style w:type="paragraph" w:styleId="Sinespaciado">
    <w:name w:val="No Spacing"/>
    <w:uiPriority w:val="1"/>
    <w:qFormat/>
    <w:rsid w:val="0008174C"/>
    <w:pPr>
      <w:spacing w:after="0" w:line="240" w:lineRule="auto"/>
    </w:pPr>
  </w:style>
  <w:style w:type="paragraph" w:styleId="Encabezado">
    <w:name w:val="header"/>
    <w:basedOn w:val="Normal"/>
    <w:link w:val="EncabezadoCar"/>
    <w:uiPriority w:val="99"/>
    <w:unhideWhenUsed/>
    <w:rsid w:val="000817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74C"/>
  </w:style>
  <w:style w:type="table" w:styleId="Tablaconcuadrcula">
    <w:name w:val="Table Grid"/>
    <w:basedOn w:val="Tablanormal"/>
    <w:uiPriority w:val="39"/>
    <w:rsid w:val="00081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2E535.2BF48C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3380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Mendoza Alba</dc:creator>
  <cp:keywords/>
  <dc:description/>
  <cp:lastModifiedBy>Katherine Candosin</cp:lastModifiedBy>
  <cp:revision>3</cp:revision>
  <dcterms:created xsi:type="dcterms:W3CDTF">2019-07-22T18:09:00Z</dcterms:created>
  <dcterms:modified xsi:type="dcterms:W3CDTF">2024-05-02T21:09:00Z</dcterms:modified>
</cp:coreProperties>
</file>